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202</w:t>
      </w:r>
      <w:r>
        <w:rPr>
          <w:rFonts w:hint="default" w:ascii="仿宋" w:hAnsi="仿宋" w:eastAsia="仿宋" w:cs="仿宋"/>
          <w:b/>
          <w:bCs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年全国职业院校技能大赛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Hans"/>
        </w:rPr>
        <w:t>四</w:t>
      </w: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男，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75岁，现住在月牙湖畔小区8幢1302室，现由安康社区中心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居家照护。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【基本信息】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  <w:t>出生年月：194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TW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  <w:t>年11月8日；身高172cm；体重：75公斤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文化程度：小学；婚姻：已婚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经济支持：养老金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500元/月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兴趣爱好：打乒乓球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饮食喜好：油炸食物、腌菜、五花肉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性格特点：脾气急、孤僻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工作经历：退休前是钢铁厂工人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家族谱：2个女儿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，均在外地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高血压30年，脑出血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1年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目前状况：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老人神志清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，精神不振，言语欠流利，脑出血后右侧肢体活动不灵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，左侧下肢活动正常，协助下可以坐稳。目前老人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以轮椅活动为主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大部分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日常生活活动需要护理员协助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记忆力、定向力、计算力正常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血压偶有波动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需服用降压药（每日1次，每次1片）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；因疾病折磨以及经济压力，老人情绪不好，对照护有抵触，且经常失眠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上午8:00护理员协助老年人口服用药；下午15:00带领老年人做音乐律动操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；晚上20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0照护睡眠障碍老年人入睡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护理员根据老人近期情况进一步改进持续照护计划。</w:t>
      </w:r>
    </w:p>
    <w:p>
      <w:pPr>
        <w:pStyle w:val="10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</w:p>
    <w:p>
      <w:pPr>
        <w:pStyle w:val="10"/>
        <w:framePr w:wrap="auto" w:vAnchor="margin" w:hAnchor="text" w:yAlign="inline"/>
        <w:ind w:firstLine="560"/>
        <w:rPr>
          <w:rFonts w:ascii="仿宋_GB2312" w:hAnsi="仿宋_GB2312" w:eastAsia="仿宋_GB2312" w:cs="仿宋_GB2312"/>
          <w:b/>
          <w:bCs/>
          <w:sz w:val="28"/>
          <w:szCs w:val="28"/>
          <w:lang w:val="zh-T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zh-TW"/>
        </w:rPr>
        <w:t>参赛选手任务】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1.请根据案例完成生活照护模块实践操作任务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2.请根据案例完成基础照护模块实践操作任务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3.请根据案例完成康复服务模块实践操作任务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4.请根据案例完成老年人持续改进照护计划</w:t>
      </w:r>
    </w:p>
    <w:p>
      <w:pPr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sz w:val="28"/>
          <w:szCs w:val="28"/>
          <w:u w:color="000000"/>
          <w:lang w:val="zh-TW" w:eastAsia="zh-TW"/>
        </w:rPr>
      </w:pPr>
    </w:p>
    <w:p>
      <w:pPr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sz w:val="28"/>
          <w:szCs w:val="28"/>
          <w:u w:color="000000"/>
          <w:lang w:val="zh-TW" w:eastAsia="zh-TW"/>
        </w:rPr>
      </w:pPr>
      <w:r>
        <w:rPr>
          <w:rFonts w:hint="eastAsia" w:ascii="宋体" w:hAnsi="宋体" w:cs="宋体"/>
          <w:b/>
          <w:bCs/>
          <w:sz w:val="28"/>
          <w:szCs w:val="28"/>
          <w:u w:color="000000"/>
        </w:rPr>
        <w:t>【</w:t>
      </w:r>
      <w:r>
        <w:rPr>
          <w:rFonts w:hint="eastAsia" w:ascii="宋体" w:hAnsi="宋体" w:cs="宋体"/>
          <w:b/>
          <w:bCs/>
          <w:sz w:val="28"/>
          <w:szCs w:val="28"/>
          <w:u w:color="000000"/>
          <w:lang w:val="zh-TW" w:eastAsia="zh-TW"/>
        </w:rPr>
        <w:t>任务要求</w:t>
      </w:r>
      <w:r>
        <w:rPr>
          <w:rFonts w:hint="eastAsia" w:ascii="宋体" w:hAnsi="宋体" w:cs="宋体"/>
          <w:b/>
          <w:bCs/>
          <w:sz w:val="28"/>
          <w:szCs w:val="28"/>
          <w:u w:color="000000"/>
          <w:lang w:val="zh-TW"/>
        </w:rPr>
        <w:t>】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沈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华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，女，76岁，现入住仁心养老机构 806 房间/6 床。</w:t>
      </w:r>
    </w:p>
    <w:p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TW" w:bidi="ar-SA"/>
        </w:rPr>
        <w:t>【基本信息】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TW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TW" w:bidi="ar-SA"/>
        </w:rPr>
        <w:t>出生年月：194</w:t>
      </w:r>
      <w:r>
        <w:rPr>
          <w:rFonts w:hint="default" w:ascii="仿宋_GB2312" w:hAnsi="仿宋_GB2312" w:eastAsia="仿宋_GB2312" w:cs="仿宋_GB2312"/>
          <w:color w:val="auto"/>
          <w:kern w:val="2"/>
          <w:sz w:val="28"/>
          <w:szCs w:val="28"/>
          <w:u w:color="000000"/>
          <w:lang w:eastAsia="zh-TW" w:bidi="ar-SA"/>
        </w:rPr>
        <w:t>6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TW" w:bidi="ar-SA"/>
        </w:rPr>
        <w:t>年7月；身高：1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6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TW" w:bidi="ar-SA"/>
        </w:rPr>
        <w:t>3cm；体重：61 公斤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文化程度：中专；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婚姻：已婚，配偶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同时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入住疗养院</w:t>
      </w:r>
    </w:p>
    <w:p>
      <w:pPr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TW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经济状况：退休金5000元/月，女儿能给予经济支持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兴趣爱好：喝茶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饮食喜好：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软烂食物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性格特点：开朗热情，喜欢指挥别人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工作经历：党委书记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退休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，常主持会议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 xml:space="preserve"> 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家族谱：2个儿子，1个女儿，大儿子去世；2个孙子</w:t>
      </w:r>
    </w:p>
    <w:p>
      <w:pPr>
        <w:ind w:firstLine="560" w:firstLineChars="200"/>
        <w:rPr>
          <w:rFonts w:hint="default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既往病史：高血压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15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年，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脑梗死1年，认知功能障碍半年，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目前状况：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沈奶奶神志清楚，言语不利，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血压平稳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左侧肢体功能尚可，右侧肢体活动无力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，能靠着扶手站立，不能独立行走，可坐轮椅出行；不思饮食，以鼻饲维持营养，从口喂水有呛咳现象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目前老人时有幻觉、抗拒照护，护理员让她去开会能奶奶安静下来。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上午8:00护理员李凤为戴鼻饲管的老年人进食、进水；下午15:00按康复计划利用简易辅具指导老年人吞咽康复训练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；晚上20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:00沈奶奶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认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为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墙上有蛇，因惊吓从站立的扶手上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跌倒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CN" w:bidi="ar-SA"/>
        </w:rPr>
        <w:t>在地，护理员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  <w:t>实施现场处理。护理员根据老人近期情况进一步改进持续照护计划。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en-US" w:eastAsia="zh-Hans" w:bidi="ar-SA"/>
        </w:rPr>
      </w:pPr>
    </w:p>
    <w:p>
      <w:pPr>
        <w:pStyle w:val="2"/>
        <w:ind w:firstLine="210"/>
      </w:pPr>
    </w:p>
    <w:p>
      <w:pPr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sz w:val="28"/>
          <w:szCs w:val="28"/>
          <w:u w:color="000000"/>
          <w:lang w:val="zh-TW"/>
        </w:rPr>
      </w:pPr>
      <w:r>
        <w:rPr>
          <w:rFonts w:hint="eastAsia" w:ascii="宋体" w:hAnsi="宋体" w:cs="宋体"/>
          <w:b/>
          <w:bCs/>
          <w:sz w:val="28"/>
          <w:szCs w:val="28"/>
          <w:u w:color="000000"/>
        </w:rPr>
        <w:t>【</w:t>
      </w:r>
      <w:r>
        <w:rPr>
          <w:rFonts w:hint="eastAsia" w:ascii="宋体" w:hAnsi="宋体" w:cs="宋体"/>
          <w:b/>
          <w:bCs/>
          <w:sz w:val="28"/>
          <w:szCs w:val="28"/>
          <w:u w:color="000000"/>
          <w:lang w:val="zh-TW"/>
        </w:rPr>
        <w:t>参赛选手任务】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1.请根据案例完成生活照护模块实践操作任务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2.请根据案例完成基础照护模块实践操作任务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3.请根据案例完成康复服务模块实践操作任务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4.请根据案例完成老年人持续改进照护计划</w:t>
      </w:r>
    </w:p>
    <w:p>
      <w:pPr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sz w:val="28"/>
          <w:szCs w:val="28"/>
          <w:u w:color="000000"/>
          <w:lang w:val="zh-TW" w:eastAsia="zh-TW"/>
        </w:rPr>
      </w:pPr>
    </w:p>
    <w:p>
      <w:pPr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sz w:val="28"/>
          <w:szCs w:val="28"/>
          <w:u w:color="000000"/>
          <w:lang w:val="zh-TW" w:eastAsia="zh-TW"/>
        </w:rPr>
      </w:pPr>
      <w:r>
        <w:rPr>
          <w:rFonts w:hint="eastAsia" w:ascii="宋体" w:hAnsi="宋体" w:cs="宋体"/>
          <w:b/>
          <w:bCs/>
          <w:sz w:val="28"/>
          <w:szCs w:val="28"/>
          <w:u w:color="000000"/>
        </w:rPr>
        <w:t>【</w:t>
      </w:r>
      <w:r>
        <w:rPr>
          <w:rFonts w:hint="eastAsia" w:ascii="宋体" w:hAnsi="宋体" w:cs="宋体"/>
          <w:b/>
          <w:bCs/>
          <w:sz w:val="28"/>
          <w:szCs w:val="28"/>
          <w:u w:color="000000"/>
          <w:lang w:val="zh-TW" w:eastAsia="zh-TW"/>
        </w:rPr>
        <w:t>任务要求</w:t>
      </w:r>
      <w:r>
        <w:rPr>
          <w:rFonts w:hint="eastAsia" w:ascii="宋体" w:hAnsi="宋体" w:cs="宋体"/>
          <w:b/>
          <w:bCs/>
          <w:sz w:val="28"/>
          <w:szCs w:val="28"/>
          <w:u w:color="000000"/>
          <w:lang w:val="zh-TW"/>
        </w:rPr>
        <w:t>】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TW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sdt>
      <w:sdtPr>
        <w:id w:val="59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rPr>
            <w:rFonts w:hint="eastAsia"/>
          </w:rPr>
          <w:t>页共4页</w:t>
        </w:r>
      </w:sdtContent>
    </w:sdt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36"/>
    <w:rsid w:val="00047CEF"/>
    <w:rsid w:val="00052F45"/>
    <w:rsid w:val="000660C3"/>
    <w:rsid w:val="000C590B"/>
    <w:rsid w:val="000D752B"/>
    <w:rsid w:val="000E3236"/>
    <w:rsid w:val="000E4FAD"/>
    <w:rsid w:val="00112AD9"/>
    <w:rsid w:val="001450AD"/>
    <w:rsid w:val="001501AC"/>
    <w:rsid w:val="0017268B"/>
    <w:rsid w:val="001850D9"/>
    <w:rsid w:val="00195A6D"/>
    <w:rsid w:val="001C09CE"/>
    <w:rsid w:val="001C1A6B"/>
    <w:rsid w:val="001E398E"/>
    <w:rsid w:val="00212910"/>
    <w:rsid w:val="00247E58"/>
    <w:rsid w:val="0025580B"/>
    <w:rsid w:val="00270CAB"/>
    <w:rsid w:val="00282D0C"/>
    <w:rsid w:val="002C5F1F"/>
    <w:rsid w:val="002D793D"/>
    <w:rsid w:val="002F5396"/>
    <w:rsid w:val="00333568"/>
    <w:rsid w:val="003347E6"/>
    <w:rsid w:val="003440B0"/>
    <w:rsid w:val="0035564F"/>
    <w:rsid w:val="003666EB"/>
    <w:rsid w:val="00382FA9"/>
    <w:rsid w:val="003C2A0E"/>
    <w:rsid w:val="003C6019"/>
    <w:rsid w:val="003D6D39"/>
    <w:rsid w:val="003E5E96"/>
    <w:rsid w:val="00426503"/>
    <w:rsid w:val="00443BE9"/>
    <w:rsid w:val="00457312"/>
    <w:rsid w:val="00475D02"/>
    <w:rsid w:val="004B63A3"/>
    <w:rsid w:val="00526CDE"/>
    <w:rsid w:val="00572B74"/>
    <w:rsid w:val="0058225F"/>
    <w:rsid w:val="005A27F9"/>
    <w:rsid w:val="005B3E8F"/>
    <w:rsid w:val="005B55A0"/>
    <w:rsid w:val="005E6B80"/>
    <w:rsid w:val="00615254"/>
    <w:rsid w:val="00641B4D"/>
    <w:rsid w:val="006515AD"/>
    <w:rsid w:val="00655F53"/>
    <w:rsid w:val="00657A03"/>
    <w:rsid w:val="00672A22"/>
    <w:rsid w:val="006764E5"/>
    <w:rsid w:val="006965D3"/>
    <w:rsid w:val="006C1BCA"/>
    <w:rsid w:val="0075009A"/>
    <w:rsid w:val="0077502B"/>
    <w:rsid w:val="00776C8F"/>
    <w:rsid w:val="007B3903"/>
    <w:rsid w:val="007C4741"/>
    <w:rsid w:val="007F6120"/>
    <w:rsid w:val="007F7AA6"/>
    <w:rsid w:val="00805854"/>
    <w:rsid w:val="00816436"/>
    <w:rsid w:val="00824082"/>
    <w:rsid w:val="0084426F"/>
    <w:rsid w:val="0086140A"/>
    <w:rsid w:val="00872E95"/>
    <w:rsid w:val="00873051"/>
    <w:rsid w:val="008767E3"/>
    <w:rsid w:val="008B2CBB"/>
    <w:rsid w:val="008B3C08"/>
    <w:rsid w:val="008E2ADB"/>
    <w:rsid w:val="00916F79"/>
    <w:rsid w:val="00921391"/>
    <w:rsid w:val="00946592"/>
    <w:rsid w:val="00947D8D"/>
    <w:rsid w:val="00A35AB8"/>
    <w:rsid w:val="00A54900"/>
    <w:rsid w:val="00A93E47"/>
    <w:rsid w:val="00AB5A4A"/>
    <w:rsid w:val="00AC2B7E"/>
    <w:rsid w:val="00AF557F"/>
    <w:rsid w:val="00B1764F"/>
    <w:rsid w:val="00BA15DF"/>
    <w:rsid w:val="00BB7E1E"/>
    <w:rsid w:val="00C118A9"/>
    <w:rsid w:val="00C11D07"/>
    <w:rsid w:val="00C14290"/>
    <w:rsid w:val="00C732D8"/>
    <w:rsid w:val="00C81ED4"/>
    <w:rsid w:val="00CA0A5C"/>
    <w:rsid w:val="00CA47D5"/>
    <w:rsid w:val="00CB2ED2"/>
    <w:rsid w:val="00CC1A1B"/>
    <w:rsid w:val="00CC5923"/>
    <w:rsid w:val="00CF4526"/>
    <w:rsid w:val="00D44E8E"/>
    <w:rsid w:val="00D7377E"/>
    <w:rsid w:val="00D87DA9"/>
    <w:rsid w:val="00DB3630"/>
    <w:rsid w:val="00DB78C9"/>
    <w:rsid w:val="00DE5FF8"/>
    <w:rsid w:val="00E07786"/>
    <w:rsid w:val="00E234C7"/>
    <w:rsid w:val="00E42EDC"/>
    <w:rsid w:val="00E430A3"/>
    <w:rsid w:val="00E72BFB"/>
    <w:rsid w:val="00EE3B44"/>
    <w:rsid w:val="00F043FD"/>
    <w:rsid w:val="00F351A2"/>
    <w:rsid w:val="00F85B64"/>
    <w:rsid w:val="00FC0762"/>
    <w:rsid w:val="24B52A96"/>
    <w:rsid w:val="450066F3"/>
    <w:rsid w:val="450D0D86"/>
    <w:rsid w:val="45230E4F"/>
    <w:rsid w:val="48D03190"/>
    <w:rsid w:val="5A1C325C"/>
    <w:rsid w:val="76CD7A13"/>
    <w:rsid w:val="7F6CF6BD"/>
    <w:rsid w:val="7FFF9667"/>
    <w:rsid w:val="FDF6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2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11"/>
    <w:unhideWhenUsed/>
    <w:qFormat/>
    <w:uiPriority w:val="99"/>
    <w:pPr>
      <w:spacing w:after="12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1">
    <w:name w:val="正文文本 字符"/>
    <w:basedOn w:val="9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2">
    <w:name w:val="正文首行缩进 字符"/>
    <w:basedOn w:val="11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3">
    <w:name w:val="批注框文本 字符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1404</Words>
  <Characters>1470</Characters>
  <Lines>14</Lines>
  <Paragraphs>3</Paragraphs>
  <TotalTime>2</TotalTime>
  <ScaleCrop>false</ScaleCrop>
  <LinksUpToDate>false</LinksUpToDate>
  <CharactersWithSpaces>1479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2021-12-01T14:04:00Z</dcterms:created>
  <dc:creator>111</dc:creator>
  <cp:lastModifiedBy>小乙</cp:lastModifiedBy>
  <dcterms:modified xsi:type="dcterms:W3CDTF">2022-02-18T10:06:50Z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F1D024A8F141472A9061B9AFC3FF5301</vt:lpwstr>
  </property>
</Properties>
</file>