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四</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操作4：完成</w:t>
      </w:r>
      <w:r>
        <w:rPr>
          <w:rFonts w:hint="eastAsia" w:ascii="仿宋" w:hAnsi="仿宋" w:eastAsia="仿宋" w:cs="宋体"/>
          <w:bCs/>
          <w:kern w:val="0"/>
          <w:sz w:val="28"/>
          <w:szCs w:val="28"/>
        </w:rPr>
        <w:t>预测分析</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操作3：完成云金融信息安全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7D85021"/>
    <w:rsid w:val="09903C9B"/>
    <w:rsid w:val="0A1B3564"/>
    <w:rsid w:val="0A344626"/>
    <w:rsid w:val="0A586566"/>
    <w:rsid w:val="0B9900FC"/>
    <w:rsid w:val="0BD63F89"/>
    <w:rsid w:val="0CF83D6F"/>
    <w:rsid w:val="0E4D3588"/>
    <w:rsid w:val="0F4470B9"/>
    <w:rsid w:val="100F23F3"/>
    <w:rsid w:val="11401B02"/>
    <w:rsid w:val="134D4AEA"/>
    <w:rsid w:val="14AF514A"/>
    <w:rsid w:val="14D97CB9"/>
    <w:rsid w:val="15BB0D9D"/>
    <w:rsid w:val="16DA03FC"/>
    <w:rsid w:val="173F190A"/>
    <w:rsid w:val="17632BD5"/>
    <w:rsid w:val="178C3CF3"/>
    <w:rsid w:val="1813553D"/>
    <w:rsid w:val="18E86DAE"/>
    <w:rsid w:val="195B6259"/>
    <w:rsid w:val="1A4A57A0"/>
    <w:rsid w:val="1AA84B10"/>
    <w:rsid w:val="1DD01570"/>
    <w:rsid w:val="1EF93D4B"/>
    <w:rsid w:val="1F5E5F75"/>
    <w:rsid w:val="1FDC333E"/>
    <w:rsid w:val="201B3E66"/>
    <w:rsid w:val="20BE2A44"/>
    <w:rsid w:val="21EB342C"/>
    <w:rsid w:val="229B7453"/>
    <w:rsid w:val="22E65732"/>
    <w:rsid w:val="231343E1"/>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D606E4"/>
    <w:rsid w:val="2EE664F6"/>
    <w:rsid w:val="2EEB0EA8"/>
    <w:rsid w:val="2EF266DA"/>
    <w:rsid w:val="318F0210"/>
    <w:rsid w:val="32BA750F"/>
    <w:rsid w:val="34051132"/>
    <w:rsid w:val="349E5CFF"/>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42A5B77"/>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4FB638C8"/>
    <w:rsid w:val="50E2039F"/>
    <w:rsid w:val="51031C29"/>
    <w:rsid w:val="51167BAE"/>
    <w:rsid w:val="51AC3BE8"/>
    <w:rsid w:val="51FE18A4"/>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3FB4CB6"/>
    <w:rsid w:val="74566390"/>
    <w:rsid w:val="759F2699"/>
    <w:rsid w:val="76E25755"/>
    <w:rsid w:val="76FF0078"/>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2021-12-05T06:19:27Z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