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黑体" w:hAnsi="黑体" w:eastAsia="黑体" w:cs="宋体"/>
          <w:b/>
          <w:sz w:val="36"/>
          <w:szCs w:val="36"/>
          <w:highlight w:val="none"/>
          <w:lang w:val="en-US" w:eastAsia="zh-CN"/>
        </w:rPr>
      </w:pPr>
      <w:r>
        <w:rPr>
          <w:rFonts w:hint="eastAsia" w:ascii="黑体" w:hAnsi="黑体" w:eastAsia="黑体" w:cs="宋体"/>
          <w:b/>
          <w:sz w:val="36"/>
          <w:szCs w:val="36"/>
          <w:highlight w:val="none"/>
        </w:rPr>
        <w:t>货币识假赛题</w:t>
      </w:r>
      <w:r>
        <w:rPr>
          <w:rFonts w:hint="eastAsia" w:ascii="黑体" w:hAnsi="黑体" w:eastAsia="黑体" w:cs="宋体"/>
          <w:b/>
          <w:sz w:val="36"/>
          <w:szCs w:val="36"/>
          <w:highlight w:val="none"/>
          <w:lang w:val="en-US" w:eastAsia="zh-CN"/>
        </w:rPr>
        <w:t>9</w:t>
      </w: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一、单选题</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1.凡办理假币没收、收缴业务的成员单位应按照统一的格式，在每季度（）内上报上一季度的假币没收、收缴数量。</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10天</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20天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30天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2.银行业金融机构反假币联络会议成员单位包括各商业银行的（）运营管理部门。</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现金</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风控</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反假币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3.金融机构需要借用假币资料或样张，应经部门主管审批同意后，打印（）。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A:假币调</w:t>
      </w:r>
      <w:r>
        <w:rPr>
          <w:rFonts w:hint="eastAsia" w:ascii="仿宋_GB2312" w:hAnsi="宋体" w:eastAsia="仿宋_GB2312" w:cs="宋体"/>
          <w:sz w:val="28"/>
          <w:szCs w:val="28"/>
          <w:highlight w:val="none"/>
          <w:lang w:val="en-US" w:eastAsia="zh-CN"/>
        </w:rPr>
        <w:t>用</w:t>
      </w:r>
      <w:r>
        <w:rPr>
          <w:rFonts w:hint="eastAsia" w:ascii="仿宋_GB2312" w:hAnsi="宋体" w:eastAsia="仿宋_GB2312" w:cs="宋体"/>
          <w:sz w:val="28"/>
          <w:szCs w:val="28"/>
          <w:highlight w:val="none"/>
        </w:rPr>
        <w:t>凭证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B:假币借用凭证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C:假币暂</w:t>
      </w:r>
      <w:r>
        <w:rPr>
          <w:rFonts w:hint="eastAsia" w:ascii="仿宋_GB2312" w:hAnsi="宋体" w:eastAsia="仿宋_GB2312" w:cs="宋体"/>
          <w:sz w:val="28"/>
          <w:szCs w:val="28"/>
          <w:highlight w:val="none"/>
          <w:lang w:val="en-US" w:eastAsia="zh-CN"/>
        </w:rPr>
        <w:t>用凭证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.银行业金融机构现金管理部门将本行清分中心发现的假币集中整理，填制（），随同电子和纸质文档，一并解缴到当地人民银行分支机构。</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A:《假币代保管登记簿》</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B:《银行业金融机构现金清分中心发现假币解缴单》</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C:《假币收缴登记簿》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.《公安部、中国人民银行关于进一步加强反假币工作的通知》（公通字〔2009〕43号）中要求：银行业金融机构一次性发现假人民币面额（），应当立即通报公安机关。</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3</w:t>
      </w:r>
      <w:r>
        <w:rPr>
          <w:rFonts w:hint="eastAsia" w:ascii="仿宋_GB2312" w:hAnsi="宋体" w:eastAsia="仿宋_GB2312" w:cs="宋体"/>
          <w:sz w:val="28"/>
          <w:szCs w:val="28"/>
          <w:highlight w:val="none"/>
        </w:rPr>
        <w:t>00元（含）以上的</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B:400元（含）以上的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C:500元（含）以上的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w:t>
      </w:r>
      <w:r>
        <w:rPr>
          <w:rFonts w:hint="eastAsia" w:ascii="仿宋_GB2312" w:hAnsi="宋体" w:eastAsia="仿宋_GB2312" w:cs="宋体"/>
          <w:sz w:val="28"/>
          <w:szCs w:val="28"/>
          <w:highlight w:val="none"/>
        </w:rPr>
        <w:t>.（）汇丰银行2003版港元钞票正面右侧，即可看到“汇丰银行大厦”图案水印和面额数字白水印。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A:透光观察</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B:旋转观察</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C:左右观察</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7</w:t>
      </w:r>
      <w:r>
        <w:rPr>
          <w:rFonts w:hint="eastAsia" w:ascii="仿宋_GB2312" w:hAnsi="宋体" w:eastAsia="仿宋_GB2312" w:cs="宋体"/>
          <w:sz w:val="28"/>
          <w:szCs w:val="28"/>
          <w:highlight w:val="none"/>
        </w:rPr>
        <w:t>.假币报送行向当地人民银行分支机构报送的电子比对文件名应为（）位编码。</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20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B:2</w:t>
      </w:r>
      <w:r>
        <w:rPr>
          <w:rFonts w:hint="eastAsia" w:ascii="仿宋_GB2312" w:hAnsi="宋体" w:eastAsia="仿宋_GB2312" w:cs="宋体"/>
          <w:sz w:val="28"/>
          <w:szCs w:val="28"/>
          <w:highlight w:val="none"/>
          <w:lang w:val="en-US" w:eastAsia="zh-CN"/>
        </w:rPr>
        <w:t>2</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C:2</w:t>
      </w:r>
      <w:r>
        <w:rPr>
          <w:rFonts w:hint="eastAsia" w:ascii="仿宋_GB2312" w:hAnsi="宋体" w:eastAsia="仿宋_GB2312" w:cs="宋体"/>
          <w:sz w:val="28"/>
          <w:szCs w:val="28"/>
          <w:highlight w:val="none"/>
          <w:lang w:val="en-US" w:eastAsia="zh-CN"/>
        </w:rPr>
        <w:t>4</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8.2010年版港币的光彩光变图案位于票面正面的（）</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A:左上角</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B:右上角</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C:左下角</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9</w:t>
      </w:r>
      <w:r>
        <w:rPr>
          <w:rFonts w:hint="eastAsia" w:ascii="仿宋_GB2312" w:hAnsi="宋体" w:eastAsia="仿宋_GB2312" w:cs="宋体"/>
          <w:sz w:val="28"/>
          <w:szCs w:val="28"/>
          <w:highlight w:val="none"/>
        </w:rPr>
        <w:t>.假币收缴应当在监控下实施，监控记录保存期限不得少于()。</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A:1个月</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B:3个月</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C:6个月</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10</w:t>
      </w:r>
      <w:r>
        <w:rPr>
          <w:rFonts w:hint="eastAsia" w:ascii="仿宋_GB2312" w:hAnsi="宋体" w:eastAsia="仿宋_GB2312" w:cs="宋体"/>
          <w:sz w:val="28"/>
          <w:szCs w:val="28"/>
          <w:highlight w:val="none"/>
        </w:rPr>
        <w:t>.2004年版5美元彩钞正面主景人像右侧的水印图案为（）</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A:人像</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B:建筑</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C:数字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w:t>
      </w: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.《银行业机构特殊残缺污损人民币兑换单》为一式（）联。</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A:2联</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B:3联</w:t>
      </w:r>
      <w:r>
        <w:rPr>
          <w:rFonts w:hint="eastAsia" w:ascii="仿宋_GB2312" w:hAnsi="宋体" w:eastAsia="仿宋_GB2312" w:cs="宋体"/>
          <w:sz w:val="28"/>
          <w:szCs w:val="28"/>
          <w:highlight w:val="none"/>
          <w:lang w:eastAsia="zh-CN"/>
        </w:rPr>
        <w:t xml:space="preserve">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C:4联。</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w:t>
      </w:r>
      <w:r>
        <w:rPr>
          <w:rFonts w:hint="eastAsia" w:ascii="仿宋_GB2312" w:hAnsi="宋体" w:eastAsia="仿宋_GB2312" w:cs="宋体"/>
          <w:sz w:val="28"/>
          <w:szCs w:val="28"/>
          <w:highlight w:val="none"/>
          <w:lang w:val="en-US" w:eastAsia="zh-CN"/>
        </w:rPr>
        <w:t>2</w:t>
      </w:r>
      <w:r>
        <w:rPr>
          <w:rFonts w:hint="eastAsia" w:ascii="仿宋_GB2312" w:hAnsi="宋体" w:eastAsia="仿宋_GB2312" w:cs="宋体"/>
          <w:sz w:val="28"/>
          <w:szCs w:val="28"/>
          <w:highlight w:val="none"/>
        </w:rPr>
        <w:t>.第五套人民币1999年版100元纸币的安全线施放方式采用()。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A:全埋式</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B:开窗式</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C:双安全线式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13</w:t>
      </w:r>
      <w:r>
        <w:rPr>
          <w:rFonts w:hint="eastAsia" w:ascii="仿宋_GB2312" w:hAnsi="宋体" w:eastAsia="仿宋_GB2312" w:cs="宋体"/>
          <w:sz w:val="28"/>
          <w:szCs w:val="28"/>
          <w:highlight w:val="none"/>
        </w:rPr>
        <w:t>.第五套人民币硬币外缘采用边部滚字防伪技术的是(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A:1元硬币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B:5角硬币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C:1角硬币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4.第五套人民币2005年版纸币运用了(   )抄纸技术，由专业抄造设备抄制，在紫外光下无荧光反应</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A:酸性</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B:中性</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C:碱性</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5.残损人民币销毁权属于(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A:中国人民银行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B:商业银行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C:造币厂</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6.1999年10月1日起，中国人民银行开始发行第五套人民币，其中没有发行()面额钞票。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A:5角</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B:l元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C:2元</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7.第五套人民币1999年版100元纸币、50元纸币的横、竖双号码的号码应是(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A:不同的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B:相同的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C:可以不同的</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8.第五套人民币纸币背面右上方印有汉语拼音和(   )少数民族文字的“中国人民银行”字样</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A:蒙、藏、回、维四种</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B:蒙、藏、维、壮四种</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C:蒙、满、藏，维四种</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19</w:t>
      </w:r>
      <w:r>
        <w:rPr>
          <w:rFonts w:hint="eastAsia" w:ascii="仿宋_GB2312" w:hAnsi="宋体" w:eastAsia="仿宋_GB2312" w:cs="宋体"/>
          <w:sz w:val="28"/>
          <w:szCs w:val="28"/>
          <w:highlight w:val="none"/>
        </w:rPr>
        <w:t>.为完善币制，满足市场货币流丽需要，第五套人民币在四套人民币的基础上，新增加了(   )元面额钞票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A:20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B:50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C:100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20</w:t>
      </w:r>
      <w:r>
        <w:rPr>
          <w:rFonts w:hint="eastAsia" w:ascii="仿宋_GB2312" w:hAnsi="宋体" w:eastAsia="仿宋_GB2312" w:cs="宋体"/>
          <w:sz w:val="28"/>
          <w:szCs w:val="28"/>
          <w:highlight w:val="none"/>
        </w:rPr>
        <w:t>.使用假币印章应采用(   )油墨。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A:红色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B:黑色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C:蓝色</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21.我国的（）年生肖纪念币上首次采用彩色币制作工艺。</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A：虎</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B：牛</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C：鼠</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22.将金属硬币的电导性能和磁感应性能控制在一个狭小的范围内的技术称为（）防伪技术。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A：微缩文字</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B：秘密暗记</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C：隐形雕刻</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23.凡办理假币没收、收缴业务的成员单位应按照统一的格式，在每季度（）内上报上一季度的假币没收、收缴数量。</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10天</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20天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30天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24.银行业金融机构反假币联络会议成员单位包括各商业银行的（）运营管理部门。</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现金</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风控</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反假币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25.第二套人民币纸币的最高面值是（）元。</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26.中国人民银行推出的央行数字人民币的简称是（）。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BTC</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ICCY</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DCEP</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27.中国人民银行行名是由（）同志书写的魏碑字体。</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毛泽东</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董必武</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马文蔚</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28.以下不属于人民币纸币真伪识别方法的是（）。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观看</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仪器鉴别</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称重法</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29.中国人民银行的数字人民币意义在于它不是现有货币的数字化，而是（）的替代。它使得交易环节对账户依赖程度大为降低，有利于人民币的流通和国际化。</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M</w:t>
      </w:r>
      <w:r>
        <w:rPr>
          <w:rFonts w:hint="eastAsia" w:ascii="仿宋_GB2312" w:hAnsi="宋体" w:eastAsia="仿宋_GB2312" w:cs="宋体"/>
          <w:sz w:val="28"/>
          <w:szCs w:val="28"/>
          <w:highlight w:val="none"/>
          <w:vertAlign w:val="subscript"/>
          <w:lang w:val="en-US" w:eastAsia="zh-CN"/>
        </w:rPr>
        <w:t>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M</w:t>
      </w:r>
      <w:r>
        <w:rPr>
          <w:rFonts w:hint="eastAsia" w:ascii="仿宋_GB2312" w:hAnsi="宋体" w:eastAsia="仿宋_GB2312" w:cs="宋体"/>
          <w:sz w:val="28"/>
          <w:szCs w:val="28"/>
          <w:highlight w:val="none"/>
          <w:vertAlign w:val="subscript"/>
          <w:lang w:val="en-US" w:eastAsia="zh-CN"/>
        </w:rPr>
        <w:t>1</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M</w:t>
      </w:r>
      <w:r>
        <w:rPr>
          <w:rFonts w:hint="eastAsia" w:ascii="仿宋_GB2312" w:hAnsi="宋体" w:eastAsia="仿宋_GB2312" w:cs="宋体"/>
          <w:sz w:val="28"/>
          <w:szCs w:val="28"/>
          <w:highlight w:val="none"/>
          <w:vertAlign w:val="subscript"/>
          <w:lang w:val="en-US" w:eastAsia="zh-CN"/>
        </w:rPr>
        <w:t>2</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30.假币借用期限不得超过（）个工作日。</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A:30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B:60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C:90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二、多选题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31</w:t>
      </w:r>
      <w:r>
        <w:rPr>
          <w:rFonts w:hint="eastAsia" w:ascii="仿宋_GB2312" w:hAnsi="宋体" w:eastAsia="仿宋_GB2312" w:cs="宋体"/>
          <w:sz w:val="28"/>
          <w:szCs w:val="28"/>
          <w:highlight w:val="none"/>
        </w:rPr>
        <w:t>.依据《中国人民银行货币鉴别及假币收缴、鉴定管理办法》规定，中国人民银行可对银行业金融机构（）行为给予警告、罚款，同时，责成银行业金融机构对相关主管人员和其他直接责任人给予相应纪律处分。</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A:发现假币而不收缴的</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B:未按照规定程序收缴假币的</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C:发现假币应向人民银行和公安机关报告而不报告的</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D:截留或私自处理收缴的假币</w:t>
      </w:r>
      <w:r>
        <w:rPr>
          <w:rFonts w:hint="eastAsia" w:ascii="仿宋_GB2312" w:hAnsi="宋体" w:eastAsia="仿宋_GB2312" w:cs="宋体"/>
          <w:sz w:val="28"/>
          <w:szCs w:val="28"/>
          <w:highlight w:val="none"/>
          <w:lang w:val="en-US" w:eastAsia="zh-CN"/>
        </w:rPr>
        <w:t>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使已收缴的假币重新流入市场的</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32</w:t>
      </w:r>
      <w:r>
        <w:rPr>
          <w:rFonts w:hint="eastAsia" w:ascii="仿宋_GB2312" w:hAnsi="宋体" w:eastAsia="仿宋_GB2312" w:cs="宋体"/>
          <w:sz w:val="28"/>
          <w:szCs w:val="28"/>
          <w:highlight w:val="none"/>
        </w:rPr>
        <w:t>.中国人民银行应当将新版人民币的（）等予以公告。</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A:图案</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B:式样</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C:规格</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D:主色调</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主要特征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33</w:t>
      </w:r>
      <w:r>
        <w:rPr>
          <w:rFonts w:hint="eastAsia" w:ascii="仿宋_GB2312" w:hAnsi="宋体" w:eastAsia="仿宋_GB2312" w:cs="宋体"/>
          <w:sz w:val="28"/>
          <w:szCs w:val="28"/>
          <w:highlight w:val="none"/>
        </w:rPr>
        <w:t>.国务院反假货币工作联席会议办公室设在中国人民银行。其主要职责包括（）等。</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A:处理联席会议的日常工作，组织全国反假货币工作的调查研究，提出建议，并负责向联席会议报告和向联席会议成员单位通报</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B:根据联席会议召集人的决定，筹备召开联席会议，准备议题，起草文件，组织会务，以及联席会议议定事项的督办落实，联系联席会议各成员单位，协助各方面的关系</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C:组织召开联席会议的联络员会议，通报情况，研究问题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D:对各省、自治区、直辖市反假货币工作联席会议办公室进行业务指导</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E:协商提出年度反假货币奖励经费计划</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34</w:t>
      </w:r>
      <w:r>
        <w:rPr>
          <w:rFonts w:hint="eastAsia" w:ascii="仿宋_GB2312" w:hAnsi="宋体" w:eastAsia="仿宋_GB2312" w:cs="宋体"/>
          <w:sz w:val="28"/>
          <w:szCs w:val="28"/>
          <w:highlight w:val="none"/>
        </w:rPr>
        <w:t>.《中国人民银行假币收缴、鉴定管理办法》所称的</w:t>
      </w:r>
      <w:r>
        <w:rPr>
          <w:rFonts w:hint="eastAsia" w:ascii="仿宋_GB2312" w:hAnsi="宋体" w:eastAsia="仿宋_GB2312" w:cs="宋体"/>
          <w:sz w:val="28"/>
          <w:szCs w:val="28"/>
          <w:highlight w:val="none"/>
          <w:lang w:val="en-US" w:eastAsia="zh-CN"/>
        </w:rPr>
        <w:t>外</w:t>
      </w:r>
      <w:r>
        <w:rPr>
          <w:rFonts w:hint="eastAsia" w:ascii="仿宋_GB2312" w:hAnsi="宋体" w:eastAsia="仿宋_GB2312" w:cs="宋体"/>
          <w:sz w:val="28"/>
          <w:szCs w:val="28"/>
          <w:highlight w:val="none"/>
        </w:rPr>
        <w:t>币包括（）。</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港币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B:美元</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C:日元</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D:欧元</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卢布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35</w:t>
      </w:r>
      <w:r>
        <w:rPr>
          <w:rFonts w:hint="eastAsia" w:ascii="仿宋_GB2312" w:hAnsi="宋体" w:eastAsia="仿宋_GB2312" w:cs="宋体"/>
          <w:sz w:val="28"/>
          <w:szCs w:val="28"/>
          <w:highlight w:val="none"/>
        </w:rPr>
        <w:t>.未经中国人民银行批准，任何单位和个人不得研制、仿制、引进、销售、购买和使用印制人民币所特有的（）。</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A:防伪材料</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B:防伪技术</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C:防伪工艺</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D:专用设备</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E：专利</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36</w:t>
      </w:r>
      <w:r>
        <w:rPr>
          <w:rFonts w:hint="eastAsia" w:ascii="仿宋_GB2312" w:hAnsi="宋体" w:eastAsia="仿宋_GB2312" w:cs="宋体"/>
          <w:sz w:val="28"/>
          <w:szCs w:val="28"/>
          <w:highlight w:val="none"/>
        </w:rPr>
        <w:t>.制贩假币犯罪作案手法不断翻新主要体现在()</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A:制假方式多样化</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B:犯罪手法翻新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C:作案方式更加诡秘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D:制假工艺有所提升</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E:反侦察意识明显提高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37</w:t>
      </w:r>
      <w:r>
        <w:rPr>
          <w:rFonts w:hint="eastAsia" w:ascii="仿宋_GB2312" w:hAnsi="宋体" w:eastAsia="仿宋_GB2312" w:cs="宋体"/>
          <w:sz w:val="28"/>
          <w:szCs w:val="28"/>
          <w:highlight w:val="none"/>
        </w:rPr>
        <w:t>.关于2015年版第五套人民币100元纸币应用的无色荧光图案，下列说法错误的是（）。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采用荧光油墨的竖号码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B:在特定波长的紫外灯照射下可见黄色荧光的面额数字</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100</w:t>
      </w:r>
      <w:r>
        <w:rPr>
          <w:rFonts w:hint="eastAsia" w:ascii="仿宋_GB2312" w:hAnsi="宋体" w:eastAsia="仿宋_GB2312" w:cs="宋体"/>
          <w:sz w:val="28"/>
          <w:szCs w:val="28"/>
          <w:highlight w:val="none"/>
          <w:lang w:eastAsia="zh-CN"/>
        </w:rPr>
        <w:t>”</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C:在自然光下可以清晰观察到该特征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D:与1999年版和2005年版第五套人民币100元纸币上应用的同类特征效果一致</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位于票面正面中部，团花中央位置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正确答案:BD</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38.2001年中银和渣打银行发行的1000元港币钞票，增加了（）防伪特征。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开窗式全息安全线</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隐形荧光纤维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白水印</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反光图案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变色油墨面额数字</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ABC</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39.1928年以后发行的美钞有一下（）券种。</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政府券</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国家券</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银币券</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金币券</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联邦储备券</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ABCDE</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40.第四套人民币纸币1角正面主景是（）人物头像。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高山族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满族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苗族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壮族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瑶族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41.第五套人民币纸币突出了（）的设计风格和特点。</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大尺寸</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大水印</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大面额</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大数字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大人像</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BCDE</w:t>
      </w:r>
    </w:p>
    <w:p>
      <w:pPr>
        <w:pStyle w:val="2"/>
        <w:numPr>
          <w:ilvl w:val="0"/>
          <w:numId w:val="0"/>
        </w:numPr>
        <w:spacing w:line="560" w:lineRule="exact"/>
        <w:rPr>
          <w:rFonts w:hint="eastAsia" w:ascii="仿宋_GB2312" w:hAnsi="宋体" w:eastAsia="仿宋_GB2312" w:cs="宋体"/>
          <w:sz w:val="28"/>
          <w:szCs w:val="28"/>
          <w:highlight w:val="none"/>
          <w:lang w:val="en-US" w:eastAsia="zh-CN"/>
        </w:rPr>
      </w:pPr>
    </w:p>
    <w:p>
      <w:pPr>
        <w:pStyle w:val="2"/>
        <w:numPr>
          <w:ilvl w:val="0"/>
          <w:numId w:val="0"/>
        </w:numPr>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42.第五套人民币构图尽显中国特色，正面主景采用了开国元勋毛泽东头像，50元、20元的背面主景采用我国著名（）和（）的图案，体现了中国的文化自信。</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布达拉宫</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泰山</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长江三峡</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桂林山水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西湖</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AD</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43.第五套人民币构图尽显中国特色，正面主景采用了开国元勋毛泽东头像，10元、1元的背面主景采用我国著名（）和（）的图案，体现了中国的文化自信。</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布达拉宫</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泰山</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长江三峡</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桂林山水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西湖</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CE</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44.第五套人民币构图尽显中国特色，正面主景采用了开国元勋毛泽东头像，5元的背面主景采用我国著名“五岳独尊”泰山的图案，体现了中华民族的悠久历史和文化传承，其他“四岳”是（）。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东</w:t>
      </w:r>
      <w:r>
        <w:rPr>
          <w:rFonts w:hint="eastAsia" w:ascii="仿宋_GB2312" w:hAnsi="宋体" w:eastAsia="仿宋_GB2312" w:cs="宋体"/>
          <w:sz w:val="28"/>
          <w:szCs w:val="28"/>
          <w:highlight w:val="none"/>
          <w:lang w:val="en-US" w:eastAsia="zh-CN"/>
        </w:rPr>
        <w:t>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西</w:t>
      </w:r>
      <w:r>
        <w:rPr>
          <w:rFonts w:hint="eastAsia" w:ascii="仿宋_GB2312" w:hAnsi="宋体" w:eastAsia="仿宋_GB2312" w:cs="宋体"/>
          <w:sz w:val="28"/>
          <w:szCs w:val="28"/>
          <w:highlight w:val="none"/>
          <w:lang w:val="en-US" w:eastAsia="zh-CN"/>
        </w:rPr>
        <w:t>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南</w:t>
      </w:r>
      <w:r>
        <w:rPr>
          <w:rFonts w:hint="eastAsia" w:ascii="仿宋_GB2312" w:hAnsi="宋体" w:eastAsia="仿宋_GB2312" w:cs="宋体"/>
          <w:sz w:val="28"/>
          <w:szCs w:val="28"/>
          <w:highlight w:val="none"/>
          <w:lang w:val="en-US" w:eastAsia="zh-CN"/>
        </w:rPr>
        <w:t>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北</w:t>
      </w:r>
      <w:r>
        <w:rPr>
          <w:rFonts w:hint="eastAsia" w:ascii="仿宋_GB2312" w:hAnsi="宋体" w:eastAsia="仿宋_GB2312" w:cs="宋体"/>
          <w:sz w:val="28"/>
          <w:szCs w:val="28"/>
          <w:highlight w:val="none"/>
          <w:lang w:val="en-US" w:eastAsia="zh-CN"/>
        </w:rPr>
        <w:t>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中</w:t>
      </w:r>
      <w:r>
        <w:rPr>
          <w:rFonts w:hint="eastAsia" w:ascii="仿宋_GB2312" w:hAnsi="宋体" w:eastAsia="仿宋_GB2312" w:cs="宋体"/>
          <w:sz w:val="28"/>
          <w:szCs w:val="28"/>
          <w:highlight w:val="none"/>
          <w:lang w:val="en-US" w:eastAsia="zh-CN"/>
        </w:rPr>
        <w:t>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ABCD</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45</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rPr>
        <w:t>硬币的外形主要有(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梅花</w:t>
      </w:r>
      <w:r>
        <w:rPr>
          <w:rFonts w:hint="eastAsia" w:ascii="仿宋_GB2312" w:hAnsi="宋体" w:eastAsia="仿宋_GB2312" w:cs="宋体"/>
          <w:sz w:val="28"/>
          <w:szCs w:val="28"/>
          <w:highlight w:val="none"/>
        </w:rPr>
        <w:t>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w:t>
      </w:r>
      <w:r>
        <w:rPr>
          <w:rFonts w:hint="eastAsia" w:ascii="仿宋_GB2312" w:hAnsi="宋体" w:eastAsia="仿宋_GB2312" w:cs="宋体"/>
          <w:sz w:val="28"/>
          <w:szCs w:val="28"/>
          <w:highlight w:val="none"/>
          <w:lang w:val="en-US" w:eastAsia="zh-CN"/>
        </w:rPr>
        <w:t>七</w:t>
      </w:r>
      <w:r>
        <w:rPr>
          <w:rFonts w:hint="eastAsia" w:ascii="仿宋_GB2312" w:hAnsi="宋体" w:eastAsia="仿宋_GB2312" w:cs="宋体"/>
          <w:sz w:val="28"/>
          <w:szCs w:val="28"/>
          <w:highlight w:val="none"/>
        </w:rPr>
        <w:t>边形</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w:t>
      </w:r>
      <w:r>
        <w:rPr>
          <w:rFonts w:hint="eastAsia" w:ascii="仿宋_GB2312" w:hAnsi="宋体" w:eastAsia="仿宋_GB2312" w:cs="宋体"/>
          <w:sz w:val="28"/>
          <w:szCs w:val="28"/>
          <w:highlight w:val="none"/>
          <w:lang w:val="en-US" w:eastAsia="zh-CN"/>
        </w:rPr>
        <w:t>扇形</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D:圆形</w:t>
      </w:r>
      <w:r>
        <w:rPr>
          <w:rFonts w:hint="eastAsia" w:ascii="仿宋_GB2312" w:hAnsi="宋体" w:eastAsia="仿宋_GB2312" w:cs="宋体"/>
          <w:sz w:val="28"/>
          <w:szCs w:val="28"/>
          <w:highlight w:val="none"/>
          <w:lang w:val="en-US" w:eastAsia="zh-CN"/>
        </w:rPr>
        <w:t>圆孔</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E：盆型</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正确答案:ABC</w:t>
      </w:r>
      <w:r>
        <w:rPr>
          <w:rFonts w:hint="eastAsia" w:ascii="仿宋_GB2312" w:hAnsi="宋体" w:eastAsia="仿宋_GB2312" w:cs="宋体"/>
          <w:sz w:val="28"/>
          <w:szCs w:val="28"/>
          <w:highlight w:val="none"/>
          <w:lang w:val="en-US" w:eastAsia="zh-CN"/>
        </w:rPr>
        <w:t>E</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三、判断题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46</w:t>
      </w:r>
      <w:r>
        <w:rPr>
          <w:rFonts w:hint="eastAsia" w:ascii="仿宋_GB2312" w:hAnsi="宋体" w:eastAsia="仿宋_GB2312" w:cs="宋体"/>
          <w:sz w:val="28"/>
          <w:szCs w:val="28"/>
          <w:highlight w:val="none"/>
        </w:rPr>
        <w:t>.中国人民银行分支机构和中国人民银行授权的鉴定机构鉴定货币真伪时，应当至少有两名鉴定人员同时参与。（）</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47</w:t>
      </w:r>
      <w:r>
        <w:rPr>
          <w:rFonts w:hint="eastAsia" w:ascii="仿宋_GB2312" w:hAnsi="宋体" w:eastAsia="仿宋_GB2312" w:cs="宋体"/>
          <w:sz w:val="28"/>
          <w:szCs w:val="28"/>
          <w:highlight w:val="none"/>
        </w:rPr>
        <w:t>.2015年版100元纸币采用雕刻凹印技术的图案有：国徽、中国银行银行行名、凹印手感线、右上角面额数字等。</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48</w:t>
      </w:r>
      <w:r>
        <w:rPr>
          <w:rFonts w:hint="eastAsia" w:ascii="仿宋_GB2312" w:hAnsi="宋体" w:eastAsia="仿宋_GB2312" w:cs="宋体"/>
          <w:sz w:val="28"/>
          <w:szCs w:val="28"/>
          <w:highlight w:val="none"/>
        </w:rPr>
        <w:t>.根据冠字号码查询系统查询结果判定为付款行付出假币的，如果假币已被其他银行业金融机构收缴或公安机关没收，付款行可不予赔付。（）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49</w:t>
      </w:r>
      <w:r>
        <w:rPr>
          <w:rFonts w:hint="eastAsia" w:ascii="仿宋_GB2312" w:hAnsi="宋体" w:eastAsia="仿宋_GB2312" w:cs="宋体"/>
          <w:sz w:val="28"/>
          <w:szCs w:val="28"/>
          <w:highlight w:val="none"/>
        </w:rPr>
        <w:t>.与前三套人民币相比，第四套人民币更注重油墨的防伪功能。（）</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50</w:t>
      </w:r>
      <w:r>
        <w:rPr>
          <w:rFonts w:hint="eastAsia" w:ascii="仿宋_GB2312" w:hAnsi="宋体" w:eastAsia="仿宋_GB2312" w:cs="宋体"/>
          <w:sz w:val="28"/>
          <w:szCs w:val="28"/>
          <w:highlight w:val="none"/>
        </w:rPr>
        <w:t>.防伪特征识别和反假维权内容是金融机构反假货币宣传工作的主要内容。</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51.银行业机构应按照中国人民银行的有关规定，将兑换的残缺、污损人民币交存当地中国人民银行分支机构。（）</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52.第五套人民币取消了2元。（）</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53.2015年版第五套人民币100元纸币应用的红外配对图案，可供点验钞设备和清分设备读取以判定该特征的真伪。（）</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54.第1版欧元各面额纸币均采用了全息贴膜技术。（）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55.从第三套人民币开始，我国形成了独立的钞票印制体系。（）</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56.2015年版100元纸币采用了光变镂空开窗安全线和全埋安全线两种，透光观察可看到镂空文字。（）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57.对兑换的残缺、污损人民币硬币，银行业机构应当面使用专用袋密封保管，并在袋外封签上加盖“兑换”戳记。（）</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58.根据《人民币鉴别仪通用技术条件》（GB_16999-2010），C级点验钞机要求使用大于等于3种鉴别技术。（）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59.第1版欧元纸币采用的全埋式缩微文字安全线，安全线是黑色的，透光观察，还可以看到上面有“URO”字样和面额数字。（）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60.已建成冠字号码查询系统的金融机构应于每个工作日营业结束后，将辖区内各分支机构当日记录储存的冠字号码信息集中到当地市分行或省行统一管理。（）</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61.第五套人民币5角硬币色泽为金黄色，直径为20.5毫米，材质为铜芯镀铜合金，硬币外缘为间断丝齿，共有6个丝齿段，每个丝齿段有8个齿距相等的丝齿。（）</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62.在冠字号码查询业务中，查询人不能委托第三方代理查询。（）</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63.银行业金融机构应将不宜流通的人民币交存人民银行，防止将其对外支付。（）</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64.银行业金融机构委托他行或社会清分机构清分后调入，由本行对外支付的现金，必须由本行记录、存储冠字号码，保证冠字号码可追溯查询。（）</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Ansi="宋体" w:cs="宋体"/>
          <w:sz w:val="28"/>
          <w:szCs w:val="28"/>
          <w:highlight w:val="none"/>
        </w:rPr>
      </w:pPr>
    </w:p>
    <w:p>
      <w:pPr>
        <w:pStyle w:val="2"/>
        <w:spacing w:line="560" w:lineRule="exact"/>
        <w:rPr>
          <w:rFonts w:hAnsi="宋体" w:cs="宋体"/>
          <w:sz w:val="28"/>
          <w:szCs w:val="28"/>
          <w:highlight w:val="none"/>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65.假币留置是指由一定保留价值，可作为分析、研究、培训、宣传之用的假币。（）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错误</w:t>
      </w:r>
    </w:p>
    <w:p>
      <w:pPr>
        <w:pStyle w:val="2"/>
        <w:spacing w:line="560" w:lineRule="exact"/>
        <w:rPr>
          <w:rFonts w:ascii="仿宋_GB2312" w:eastAsia="仿宋_GB2312"/>
          <w:sz w:val="28"/>
          <w:szCs w:val="28"/>
          <w:highlight w:val="none"/>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bookmarkStart w:id="0" w:name="_GoBack"/>
      <w:bookmarkEnd w:id="0"/>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0C2"/>
    <w:rsid w:val="006F3265"/>
    <w:rsid w:val="00755692"/>
    <w:rsid w:val="00940A67"/>
    <w:rsid w:val="00A65F13"/>
    <w:rsid w:val="00A860D9"/>
    <w:rsid w:val="00AB30C2"/>
    <w:rsid w:val="00C46A44"/>
    <w:rsid w:val="00CC75F3"/>
    <w:rsid w:val="00CD4D80"/>
    <w:rsid w:val="00D74EB1"/>
    <w:rsid w:val="00F03337"/>
    <w:rsid w:val="00F44D1D"/>
    <w:rsid w:val="45847B4F"/>
    <w:rsid w:val="7BFD0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9"/>
    <w:unhideWhenUsed/>
    <w:uiPriority w:val="99"/>
    <w:rPr>
      <w:rFonts w:ascii="宋体" w:hAnsi="Courier New" w:eastAsia="宋体" w:cs="Courier New"/>
      <w:szCs w:val="21"/>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99"/>
    <w:rPr>
      <w:sz w:val="18"/>
      <w:szCs w:val="18"/>
    </w:rPr>
  </w:style>
  <w:style w:type="character" w:customStyle="1" w:styleId="9">
    <w:name w:val="纯文本 Char"/>
    <w:basedOn w:val="6"/>
    <w:link w:val="2"/>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675</Words>
  <Characters>3850</Characters>
  <Lines>32</Lines>
  <Paragraphs>9</Paragraphs>
  <TotalTime>1</TotalTime>
  <ScaleCrop>false</ScaleCrop>
  <LinksUpToDate>false</LinksUpToDate>
  <CharactersWithSpaces>4516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9</cp:revision>
  <dcterms:created xsi:type="dcterms:W3CDTF">2021-03-13T06:02:00Z</dcterms:created>
  <dcterms:modified xsi:type="dcterms:W3CDTF">2021-12-05T13:14:26Z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