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602" w:firstLineChars="200"/>
        <w:jc w:val="center"/>
        <w:rPr>
          <w:rFonts w:asciiTheme="minorEastAsia" w:hAnsiTheme="minorEastAsia"/>
          <w:b/>
          <w:color w:val="auto"/>
          <w:sz w:val="30"/>
          <w:szCs w:val="30"/>
          <w:highlight w:val="none"/>
        </w:rPr>
      </w:pPr>
      <w:r>
        <w:rPr>
          <w:rFonts w:hint="eastAsia" w:asciiTheme="minorEastAsia" w:hAnsiTheme="minorEastAsia"/>
          <w:b/>
          <w:color w:val="auto"/>
          <w:sz w:val="30"/>
          <w:szCs w:val="30"/>
          <w:highlight w:val="none"/>
        </w:rPr>
        <w:t>物流管理1+x职业能力测评试题（十）</w:t>
      </w:r>
    </w:p>
    <w:p>
      <w:pPr>
        <w:ind w:firstLine="420" w:firstLineChars="200"/>
        <w:rPr>
          <w:rFonts w:asciiTheme="minorEastAsia" w:hAnsiTheme="minorEastAsia"/>
          <w:color w:val="auto"/>
          <w:szCs w:val="21"/>
          <w:highlight w:val="none"/>
        </w:rPr>
      </w:pPr>
    </w:p>
    <w:p>
      <w:pPr>
        <w:spacing w:line="400" w:lineRule="exact"/>
        <w:rPr>
          <w:rFonts w:ascii="宋体" w:hAnsi="宋体"/>
          <w:b/>
          <w:color w:val="auto"/>
          <w:sz w:val="22"/>
          <w:highlight w:val="none"/>
        </w:rPr>
      </w:pPr>
      <w:r>
        <w:rPr>
          <w:rFonts w:hint="eastAsia" w:ascii="宋体" w:hAnsi="宋体"/>
          <w:b/>
          <w:color w:val="auto"/>
          <w:sz w:val="22"/>
          <w:highlight w:val="none"/>
        </w:rPr>
        <w:t>一、单项选择题（本大</w:t>
      </w:r>
      <w:bookmarkStart w:id="23" w:name="_GoBack"/>
      <w:bookmarkEnd w:id="23"/>
      <w:r>
        <w:rPr>
          <w:rFonts w:hint="eastAsia" w:ascii="宋体" w:hAnsi="宋体"/>
          <w:b/>
          <w:color w:val="auto"/>
          <w:sz w:val="22"/>
          <w:highlight w:val="none"/>
        </w:rPr>
        <w:t>题共40小题，每小题0.5分，共20分）</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 xml:space="preserve">1.在“五一”国际劳动节来临之际，中共中央总书记、国家主席、中央军委主席习近平指出，伟大出自平凡，英雄来自人民。面对这次突如其来的疫情，从一线医务人员到各个方面参与防控的人员，从环卫工人、快递小哥到生产防疫物资的工人，千千万万劳动群众在各自岗位上埋头苦干、默默奉献，汇聚起了战胜疫情的强大力量。这种人们在从事职业活动的过程中形成的一种内在的、非强制性的约束机制是指（ </w:t>
      </w:r>
      <w:r>
        <w:rPr>
          <w:rFonts w:ascii="宋体" w:hAnsi="宋体"/>
          <w:color w:val="auto"/>
          <w:sz w:val="22"/>
          <w:highlight w:val="none"/>
        </w:rPr>
        <w:t xml:space="preserve"> </w:t>
      </w:r>
      <w:r>
        <w:rPr>
          <w:rFonts w:hint="eastAsia" w:ascii="宋体" w:hAnsi="宋体"/>
          <w:color w:val="auto"/>
          <w:sz w:val="22"/>
          <w:highlight w:val="none"/>
        </w:rPr>
        <w:t xml:space="preserve">  ）。</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A. 道德</w:t>
      </w:r>
      <w:r>
        <w:rPr>
          <w:rFonts w:hint="eastAsia" w:ascii="宋体" w:hAnsi="宋体"/>
          <w:color w:val="auto"/>
          <w:sz w:val="22"/>
          <w:highlight w:val="none"/>
        </w:rPr>
        <w:tab/>
      </w:r>
      <w:r>
        <w:rPr>
          <w:rFonts w:hint="eastAsia" w:ascii="宋体" w:hAnsi="宋体"/>
          <w:color w:val="auto"/>
          <w:sz w:val="22"/>
          <w:highlight w:val="none"/>
        </w:rPr>
        <w:tab/>
      </w:r>
      <w:r>
        <w:rPr>
          <w:rFonts w:hint="eastAsia" w:ascii="宋体" w:hAnsi="宋体"/>
          <w:color w:val="auto"/>
          <w:sz w:val="22"/>
          <w:highlight w:val="none"/>
        </w:rPr>
        <w:t>B. 价值观</w:t>
      </w:r>
      <w:r>
        <w:rPr>
          <w:rFonts w:hint="eastAsia" w:ascii="宋体" w:hAnsi="宋体"/>
          <w:color w:val="auto"/>
          <w:sz w:val="22"/>
          <w:highlight w:val="none"/>
        </w:rPr>
        <w:tab/>
      </w:r>
      <w:r>
        <w:rPr>
          <w:rFonts w:ascii="宋体" w:hAnsi="宋体"/>
          <w:color w:val="auto"/>
          <w:sz w:val="22"/>
          <w:highlight w:val="none"/>
        </w:rPr>
        <w:tab/>
      </w:r>
      <w:r>
        <w:rPr>
          <w:rFonts w:hint="eastAsia" w:ascii="宋体" w:hAnsi="宋体"/>
          <w:color w:val="auto"/>
          <w:sz w:val="22"/>
          <w:highlight w:val="none"/>
        </w:rPr>
        <w:t>C. 职业道德</w:t>
      </w:r>
      <w:r>
        <w:rPr>
          <w:rFonts w:hint="eastAsia" w:ascii="宋体" w:hAnsi="宋体"/>
          <w:color w:val="auto"/>
          <w:sz w:val="22"/>
          <w:highlight w:val="none"/>
        </w:rPr>
        <w:tab/>
      </w:r>
      <w:r>
        <w:rPr>
          <w:rFonts w:ascii="宋体" w:hAnsi="宋体"/>
          <w:color w:val="auto"/>
          <w:sz w:val="22"/>
          <w:highlight w:val="none"/>
        </w:rPr>
        <w:tab/>
      </w:r>
      <w:r>
        <w:rPr>
          <w:rFonts w:hint="eastAsia" w:ascii="宋体" w:hAnsi="宋体"/>
          <w:color w:val="auto"/>
          <w:sz w:val="22"/>
          <w:highlight w:val="none"/>
        </w:rPr>
        <w:t>D. 企业制度</w:t>
      </w:r>
    </w:p>
    <w:p>
      <w:pPr>
        <w:pStyle w:val="13"/>
        <w:spacing w:line="400" w:lineRule="exact"/>
        <w:ind w:firstLine="440"/>
        <w:rPr>
          <w:rFonts w:ascii="宋体" w:hAnsi="宋体"/>
          <w:color w:val="auto"/>
          <w:sz w:val="22"/>
          <w:highlight w:val="none"/>
        </w:rPr>
      </w:pP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lang w:val="en-US" w:eastAsia="zh-CN"/>
        </w:rPr>
        <w:t>2.</w:t>
      </w:r>
      <w:r>
        <w:rPr>
          <w:rFonts w:hint="eastAsia" w:ascii="宋体" w:hAnsi="宋体"/>
          <w:color w:val="auto"/>
          <w:sz w:val="22"/>
          <w:highlight w:val="none"/>
        </w:rPr>
        <w:t>安全色标中禁止和紧急停止，也表示防火的是（</w:t>
      </w:r>
      <w:r>
        <w:rPr>
          <w:rFonts w:hint="eastAsia" w:ascii="宋体" w:hAnsi="宋体"/>
          <w:color w:val="auto"/>
          <w:sz w:val="22"/>
          <w:highlight w:val="none"/>
          <w:lang w:val="en-US" w:eastAsia="zh-CN"/>
        </w:rPr>
        <w:t xml:space="preserve">   </w:t>
      </w:r>
      <w:r>
        <w:rPr>
          <w:rFonts w:hint="eastAsia" w:ascii="宋体" w:hAnsi="宋体"/>
          <w:color w:val="auto"/>
          <w:sz w:val="22"/>
          <w:highlight w:val="none"/>
        </w:rPr>
        <w:t>）。</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A.红色标志</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B.蓝色标志</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C.黄色标志</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D.绿色标志</w:t>
      </w:r>
    </w:p>
    <w:p>
      <w:pPr>
        <w:pStyle w:val="13"/>
        <w:spacing w:line="400" w:lineRule="exact"/>
        <w:ind w:firstLine="440"/>
        <w:rPr>
          <w:rFonts w:hint="eastAsia" w:ascii="宋体" w:hAnsi="宋体"/>
          <w:color w:val="auto"/>
          <w:sz w:val="22"/>
          <w:highlight w:val="none"/>
        </w:rPr>
      </w:pP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lang w:val="en-US" w:eastAsia="zh-CN"/>
        </w:rPr>
        <w:t>3.</w:t>
      </w:r>
      <w:r>
        <w:rPr>
          <w:rFonts w:hint="eastAsia" w:ascii="宋体" w:hAnsi="宋体"/>
          <w:color w:val="auto"/>
          <w:sz w:val="22"/>
          <w:highlight w:val="none"/>
        </w:rPr>
        <w:t>利用信息技术全面规划供应链中的商流、物流、资金流及信息流等，并进行计划、组织、协调与控制的各种活动和过程，称为</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A.供应链管理</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B.物流管理</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C.供应管理</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D.信息管理</w:t>
      </w:r>
    </w:p>
    <w:p>
      <w:pPr>
        <w:pStyle w:val="13"/>
        <w:spacing w:line="400" w:lineRule="exact"/>
        <w:ind w:firstLine="440"/>
        <w:rPr>
          <w:rFonts w:ascii="宋体" w:hAnsi="宋体"/>
          <w:color w:val="auto"/>
          <w:sz w:val="22"/>
          <w:highlight w:val="none"/>
        </w:rPr>
      </w:pPr>
    </w:p>
    <w:p>
      <w:pPr>
        <w:pStyle w:val="13"/>
        <w:spacing w:line="400" w:lineRule="exact"/>
        <w:ind w:firstLine="440"/>
        <w:rPr>
          <w:rFonts w:ascii="宋体" w:hAnsi="宋体"/>
          <w:color w:val="auto"/>
          <w:sz w:val="22"/>
          <w:highlight w:val="none"/>
        </w:rPr>
      </w:pP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lang w:val="en-US" w:eastAsia="zh-CN"/>
        </w:rPr>
        <w:t>4.</w:t>
      </w:r>
      <w:r>
        <w:rPr>
          <w:rFonts w:hint="eastAsia" w:ascii="宋体" w:hAnsi="宋体"/>
          <w:color w:val="auto"/>
          <w:sz w:val="22"/>
          <w:highlight w:val="none"/>
        </w:rPr>
        <w:t>在新品开发项目中承担了重要的协调角色，需要调整内外部资源的配置，保障新品的顺利投放的是（</w:t>
      </w:r>
      <w:r>
        <w:rPr>
          <w:rFonts w:hint="eastAsia" w:ascii="宋体" w:hAnsi="宋体"/>
          <w:color w:val="auto"/>
          <w:sz w:val="22"/>
          <w:highlight w:val="none"/>
          <w:lang w:val="en-US" w:eastAsia="zh-CN"/>
        </w:rPr>
        <w:t xml:space="preserve">   </w:t>
      </w:r>
      <w:r>
        <w:rPr>
          <w:rFonts w:hint="eastAsia" w:ascii="宋体" w:hAnsi="宋体"/>
          <w:color w:val="auto"/>
          <w:sz w:val="22"/>
          <w:highlight w:val="none"/>
        </w:rPr>
        <w:t>）。</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A.市场营销人员</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B.产品研发人员</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C.客服人员</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D.供应链管理者</w:t>
      </w:r>
    </w:p>
    <w:p>
      <w:pPr>
        <w:textAlignment w:val="center"/>
        <w:rPr>
          <w:rFonts w:ascii="宋体" w:hAnsi="宋体" w:eastAsia="宋体"/>
          <w:color w:val="auto"/>
          <w:highlight w:val="none"/>
        </w:rPr>
      </w:pP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5.无论企业采用何种组织形式，都应具有两种基本的经济权利，即（ ）和经营权，它们是企业从事经济运作和财务运作的基础。</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 xml:space="preserve">A.所有权 </w:t>
      </w:r>
      <w:r>
        <w:rPr>
          <w:rFonts w:hint="eastAsia" w:ascii="宋体" w:hAnsi="宋体"/>
          <w:color w:val="auto"/>
          <w:sz w:val="22"/>
          <w:highlight w:val="none"/>
        </w:rPr>
        <w:tab/>
      </w:r>
      <w:r>
        <w:rPr>
          <w:rFonts w:hint="eastAsia" w:ascii="宋体" w:hAnsi="宋体"/>
          <w:color w:val="auto"/>
          <w:sz w:val="22"/>
          <w:highlight w:val="none"/>
        </w:rPr>
        <w:tab/>
      </w:r>
      <w:r>
        <w:rPr>
          <w:rFonts w:hint="eastAsia" w:ascii="宋体" w:hAnsi="宋体"/>
          <w:color w:val="auto"/>
          <w:sz w:val="22"/>
          <w:highlight w:val="none"/>
        </w:rPr>
        <w:t>B.标识权</w:t>
      </w:r>
      <w:r>
        <w:rPr>
          <w:rFonts w:hint="eastAsia" w:ascii="宋体" w:hAnsi="宋体"/>
          <w:color w:val="auto"/>
          <w:sz w:val="22"/>
          <w:highlight w:val="none"/>
        </w:rPr>
        <w:tab/>
      </w:r>
      <w:r>
        <w:rPr>
          <w:rFonts w:hint="eastAsia" w:ascii="宋体" w:hAnsi="宋体"/>
          <w:color w:val="auto"/>
          <w:sz w:val="22"/>
          <w:highlight w:val="none"/>
        </w:rPr>
        <w:tab/>
      </w:r>
      <w:r>
        <w:rPr>
          <w:rFonts w:ascii="宋体" w:hAnsi="宋体"/>
          <w:color w:val="auto"/>
          <w:sz w:val="22"/>
          <w:highlight w:val="none"/>
        </w:rPr>
        <w:tab/>
      </w:r>
      <w:r>
        <w:rPr>
          <w:rFonts w:hint="eastAsia" w:ascii="宋体" w:hAnsi="宋体"/>
          <w:color w:val="auto"/>
          <w:sz w:val="22"/>
          <w:highlight w:val="none"/>
        </w:rPr>
        <w:t>C.商标权</w:t>
      </w:r>
      <w:r>
        <w:rPr>
          <w:rFonts w:hint="eastAsia" w:ascii="宋体" w:hAnsi="宋体"/>
          <w:color w:val="auto"/>
          <w:sz w:val="22"/>
          <w:highlight w:val="none"/>
        </w:rPr>
        <w:tab/>
      </w:r>
      <w:r>
        <w:rPr>
          <w:rFonts w:hint="eastAsia" w:ascii="宋体" w:hAnsi="宋体"/>
          <w:color w:val="auto"/>
          <w:sz w:val="22"/>
          <w:highlight w:val="none"/>
        </w:rPr>
        <w:tab/>
      </w:r>
      <w:r>
        <w:rPr>
          <w:rFonts w:ascii="宋体" w:hAnsi="宋体"/>
          <w:color w:val="auto"/>
          <w:sz w:val="22"/>
          <w:highlight w:val="none"/>
        </w:rPr>
        <w:tab/>
      </w:r>
      <w:r>
        <w:rPr>
          <w:rFonts w:hint="eastAsia" w:ascii="宋体" w:hAnsi="宋体"/>
          <w:color w:val="auto"/>
          <w:sz w:val="22"/>
          <w:highlight w:val="none"/>
        </w:rPr>
        <w:t>D.版权</w:t>
      </w:r>
    </w:p>
    <w:p>
      <w:pPr>
        <w:pStyle w:val="13"/>
        <w:spacing w:line="400" w:lineRule="exact"/>
        <w:ind w:firstLine="440"/>
        <w:rPr>
          <w:rFonts w:ascii="宋体" w:hAnsi="宋体"/>
          <w:color w:val="auto"/>
          <w:sz w:val="22"/>
          <w:highlight w:val="none"/>
        </w:rPr>
      </w:pP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6.在企业文化的四个层次中，（    ）是企业文件中的核心文化，是更深层次的文化现象。</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A.物资文化</w:t>
      </w:r>
      <w:r>
        <w:rPr>
          <w:rFonts w:hint="eastAsia" w:ascii="宋体" w:hAnsi="宋体"/>
          <w:color w:val="auto"/>
          <w:sz w:val="22"/>
          <w:highlight w:val="none"/>
        </w:rPr>
        <w:tab/>
      </w:r>
      <w:r>
        <w:rPr>
          <w:rFonts w:hint="eastAsia" w:ascii="宋体" w:hAnsi="宋体"/>
          <w:color w:val="auto"/>
          <w:sz w:val="22"/>
          <w:highlight w:val="none"/>
        </w:rPr>
        <w:tab/>
      </w:r>
      <w:r>
        <w:rPr>
          <w:rFonts w:hint="eastAsia" w:ascii="宋体" w:hAnsi="宋体"/>
          <w:color w:val="auto"/>
          <w:sz w:val="22"/>
          <w:highlight w:val="none"/>
        </w:rPr>
        <w:t>B.精神文化</w:t>
      </w:r>
      <w:r>
        <w:rPr>
          <w:rFonts w:hint="eastAsia" w:ascii="宋体" w:hAnsi="宋体"/>
          <w:color w:val="auto"/>
          <w:sz w:val="22"/>
          <w:highlight w:val="none"/>
        </w:rPr>
        <w:tab/>
      </w:r>
      <w:r>
        <w:rPr>
          <w:rFonts w:hint="eastAsia" w:ascii="宋体" w:hAnsi="宋体"/>
          <w:color w:val="auto"/>
          <w:sz w:val="22"/>
          <w:highlight w:val="none"/>
        </w:rPr>
        <w:tab/>
      </w:r>
      <w:r>
        <w:rPr>
          <w:rFonts w:hint="eastAsia" w:ascii="宋体" w:hAnsi="宋体"/>
          <w:color w:val="auto"/>
          <w:sz w:val="22"/>
          <w:highlight w:val="none"/>
        </w:rPr>
        <w:t>C.行为文化</w:t>
      </w:r>
      <w:r>
        <w:rPr>
          <w:rFonts w:hint="eastAsia" w:ascii="宋体" w:hAnsi="宋体"/>
          <w:color w:val="auto"/>
          <w:sz w:val="22"/>
          <w:highlight w:val="none"/>
        </w:rPr>
        <w:tab/>
      </w:r>
      <w:r>
        <w:rPr>
          <w:rFonts w:hint="eastAsia" w:ascii="宋体" w:hAnsi="宋体"/>
          <w:color w:val="auto"/>
          <w:sz w:val="22"/>
          <w:highlight w:val="none"/>
        </w:rPr>
        <w:tab/>
      </w:r>
      <w:r>
        <w:rPr>
          <w:rFonts w:hint="eastAsia" w:ascii="宋体" w:hAnsi="宋体"/>
          <w:color w:val="auto"/>
          <w:sz w:val="22"/>
          <w:highlight w:val="none"/>
        </w:rPr>
        <w:t>D.制度文化</w:t>
      </w:r>
    </w:p>
    <w:p>
      <w:pPr>
        <w:pStyle w:val="13"/>
        <w:spacing w:line="400" w:lineRule="exact"/>
        <w:ind w:firstLine="440"/>
        <w:rPr>
          <w:rFonts w:ascii="宋体" w:hAnsi="宋体"/>
          <w:color w:val="auto"/>
          <w:sz w:val="22"/>
          <w:highlight w:val="none"/>
        </w:rPr>
      </w:pP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lang w:val="en-US" w:eastAsia="zh-CN"/>
        </w:rPr>
        <w:t>7.</w:t>
      </w:r>
      <w:r>
        <w:rPr>
          <w:rFonts w:hint="eastAsia" w:ascii="宋体" w:hAnsi="宋体"/>
          <w:color w:val="auto"/>
          <w:sz w:val="22"/>
          <w:highlight w:val="none"/>
        </w:rPr>
        <w:t>通过温度采集系统、控制系统、电气系统及制冷系统等多个冷链运输过程中的相关系统，进行大数据采集工作，选择合适的算法，建立最优控制模型，能够随时根据周围环境变化，智能调控冷冻冷藏设施在最佳状态下运行，不但能够大大降低运输过程中的能源损耗，也能减少由于环境温度变化导致的货损，进而降低客户由于货损所产生的惩罚成本。该场景应用的智慧物流技术是（）。</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A.自动识别技术</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B.数据挖掘技术</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C.人工智能技术</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D.GIS技术</w:t>
      </w:r>
    </w:p>
    <w:p>
      <w:pPr>
        <w:textAlignment w:val="center"/>
        <w:rPr>
          <w:rFonts w:ascii="宋体" w:hAnsi="宋体" w:eastAsia="宋体"/>
          <w:color w:val="auto"/>
          <w:sz w:val="22"/>
          <w:highlight w:val="none"/>
        </w:rPr>
      </w:pP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 xml:space="preserve">8.《关于XX物流公司办公室购买打印机的请示》，起草人最有可能的是（ </w:t>
      </w:r>
      <w:r>
        <w:rPr>
          <w:rFonts w:ascii="宋体" w:hAnsi="宋体"/>
          <w:color w:val="auto"/>
          <w:sz w:val="22"/>
          <w:highlight w:val="none"/>
        </w:rPr>
        <w:t xml:space="preserve"> </w:t>
      </w:r>
      <w:r>
        <w:rPr>
          <w:rFonts w:hint="eastAsia" w:ascii="宋体" w:hAnsi="宋体"/>
          <w:color w:val="auto"/>
          <w:sz w:val="22"/>
          <w:highlight w:val="none"/>
        </w:rPr>
        <w:t xml:space="preserve"> ）。</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A. XX物流公司</w:t>
      </w:r>
      <w:r>
        <w:rPr>
          <w:rFonts w:hint="eastAsia" w:ascii="宋体" w:hAnsi="宋体"/>
          <w:color w:val="auto"/>
          <w:sz w:val="22"/>
          <w:highlight w:val="none"/>
        </w:rPr>
        <w:tab/>
      </w:r>
      <w:r>
        <w:rPr>
          <w:rFonts w:hint="eastAsia" w:ascii="宋体" w:hAnsi="宋体"/>
          <w:color w:val="auto"/>
          <w:sz w:val="22"/>
          <w:highlight w:val="none"/>
        </w:rPr>
        <w:tab/>
      </w:r>
      <w:r>
        <w:rPr>
          <w:rFonts w:hint="eastAsia" w:ascii="宋体" w:hAnsi="宋体"/>
          <w:color w:val="auto"/>
          <w:sz w:val="22"/>
          <w:highlight w:val="none"/>
        </w:rPr>
        <w:t>B. XX物流公司的负责人</w:t>
      </w:r>
      <w:r>
        <w:rPr>
          <w:rFonts w:hint="eastAsia" w:ascii="宋体" w:hAnsi="宋体"/>
          <w:color w:val="auto"/>
          <w:sz w:val="22"/>
          <w:highlight w:val="none"/>
        </w:rPr>
        <w:tab/>
      </w:r>
      <w:r>
        <w:rPr>
          <w:rFonts w:hint="eastAsia" w:ascii="宋体" w:hAnsi="宋体"/>
          <w:color w:val="auto"/>
          <w:sz w:val="22"/>
          <w:highlight w:val="none"/>
        </w:rPr>
        <w:t>C. 起草文件的小张</w:t>
      </w:r>
      <w:r>
        <w:rPr>
          <w:rFonts w:ascii="宋体" w:hAnsi="宋体"/>
          <w:color w:val="auto"/>
          <w:sz w:val="22"/>
          <w:highlight w:val="none"/>
        </w:rPr>
        <w:tab/>
      </w:r>
      <w:r>
        <w:rPr>
          <w:rFonts w:hint="eastAsia" w:ascii="宋体" w:hAnsi="宋体"/>
          <w:color w:val="auto"/>
          <w:sz w:val="22"/>
          <w:highlight w:val="none"/>
        </w:rPr>
        <w:t>D. 办公室主任</w:t>
      </w:r>
    </w:p>
    <w:p>
      <w:pPr>
        <w:pStyle w:val="13"/>
        <w:spacing w:line="400" w:lineRule="exact"/>
        <w:ind w:firstLine="440"/>
        <w:rPr>
          <w:rFonts w:ascii="宋体" w:hAnsi="宋体"/>
          <w:color w:val="auto"/>
          <w:sz w:val="22"/>
          <w:highlight w:val="none"/>
        </w:rPr>
      </w:pP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lang w:val="en-US" w:eastAsia="zh-CN"/>
        </w:rPr>
        <w:t>9.</w:t>
      </w:r>
      <w:r>
        <w:rPr>
          <w:rFonts w:hint="eastAsia" w:ascii="宋体" w:hAnsi="宋体"/>
          <w:color w:val="auto"/>
          <w:sz w:val="22"/>
          <w:highlight w:val="none"/>
        </w:rPr>
        <w:t>由上至下、由整体到部分、由宏观到微观、由抽象到具体的逻辑关系体现了业务流程的（）。</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A.层次性</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B.局限性</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C.整体性</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D.计划性</w:t>
      </w:r>
    </w:p>
    <w:p>
      <w:pPr>
        <w:pStyle w:val="13"/>
        <w:spacing w:line="400" w:lineRule="exact"/>
        <w:ind w:firstLine="440"/>
        <w:rPr>
          <w:rFonts w:hint="eastAsia" w:ascii="宋体" w:hAnsi="宋体"/>
          <w:color w:val="auto"/>
          <w:sz w:val="22"/>
          <w:highlight w:val="none"/>
        </w:rPr>
      </w:pP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10.某物流公司提出节约成本、高效工作的发展目标。这种可以提高生产效率，提升产品的品质服务水准，提高工作效率，也是其他管理活动有效展开的基础。的方法是（  ）。</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A. 5S现场管理法</w:t>
      </w:r>
      <w:r>
        <w:rPr>
          <w:rFonts w:hint="eastAsia" w:ascii="宋体" w:hAnsi="宋体"/>
          <w:color w:val="auto"/>
          <w:sz w:val="22"/>
          <w:highlight w:val="none"/>
        </w:rPr>
        <w:tab/>
      </w:r>
      <w:r>
        <w:rPr>
          <w:rFonts w:hint="eastAsia" w:ascii="宋体" w:hAnsi="宋体"/>
          <w:color w:val="auto"/>
          <w:sz w:val="22"/>
          <w:highlight w:val="none"/>
        </w:rPr>
        <w:t xml:space="preserve">             B. PDCA循环分析法</w:t>
      </w:r>
      <w:r>
        <w:rPr>
          <w:rFonts w:hint="eastAsia" w:ascii="宋体" w:hAnsi="宋体"/>
          <w:color w:val="auto"/>
          <w:sz w:val="22"/>
          <w:highlight w:val="none"/>
        </w:rPr>
        <w:tab/>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C. SWOT分析法</w:t>
      </w:r>
      <w:r>
        <w:rPr>
          <w:rFonts w:hint="eastAsia" w:ascii="宋体" w:hAnsi="宋体"/>
          <w:color w:val="auto"/>
          <w:sz w:val="22"/>
          <w:highlight w:val="none"/>
        </w:rPr>
        <w:tab/>
      </w:r>
      <w:r>
        <w:rPr>
          <w:rFonts w:hint="eastAsia" w:ascii="宋体" w:hAnsi="宋体"/>
          <w:color w:val="auto"/>
          <w:sz w:val="22"/>
          <w:highlight w:val="none"/>
        </w:rPr>
        <w:t xml:space="preserve">                 D. “鱼骨型”目标导向分析法</w:t>
      </w:r>
    </w:p>
    <w:p>
      <w:pPr>
        <w:spacing w:line="400" w:lineRule="exact"/>
        <w:rPr>
          <w:rFonts w:ascii="宋体" w:hAnsi="宋体"/>
          <w:b/>
          <w:color w:val="auto"/>
          <w:sz w:val="22"/>
          <w:highlight w:val="none"/>
        </w:rPr>
      </w:pPr>
    </w:p>
    <w:p>
      <w:pPr>
        <w:pStyle w:val="13"/>
        <w:spacing w:line="400" w:lineRule="exact"/>
        <w:ind w:firstLine="440"/>
        <w:rPr>
          <w:rFonts w:ascii="宋体" w:hAnsi="宋体"/>
          <w:color w:val="auto"/>
          <w:sz w:val="22"/>
          <w:highlight w:val="none"/>
        </w:rPr>
      </w:pPr>
      <w:r>
        <w:rPr>
          <w:rFonts w:ascii="宋体" w:hAnsi="宋体"/>
          <w:color w:val="auto"/>
          <w:sz w:val="22"/>
          <w:highlight w:val="none"/>
        </w:rPr>
        <w:t>11.</w:t>
      </w:r>
      <w:r>
        <w:rPr>
          <w:rFonts w:hint="eastAsia" w:ascii="宋体" w:hAnsi="宋体"/>
          <w:color w:val="auto"/>
          <w:sz w:val="22"/>
          <w:highlight w:val="none"/>
        </w:rPr>
        <w:t>请使用S</w:t>
      </w:r>
      <w:r>
        <w:rPr>
          <w:rFonts w:ascii="宋体" w:hAnsi="宋体"/>
          <w:color w:val="auto"/>
          <w:sz w:val="22"/>
          <w:highlight w:val="none"/>
        </w:rPr>
        <w:t>WOT</w:t>
      </w:r>
      <w:r>
        <w:rPr>
          <w:rFonts w:hint="eastAsia" w:ascii="宋体" w:hAnsi="宋体"/>
          <w:color w:val="auto"/>
          <w:sz w:val="22"/>
          <w:highlight w:val="none"/>
        </w:rPr>
        <w:t>分析法进行战略选择，某物流公司拥有雄厚的资金基础，但传统的主营业务面临复杂的竞争导致盈利能力不断下降，应采取的战略是（    ）。</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A.S-</w:t>
      </w:r>
      <w:r>
        <w:rPr>
          <w:rFonts w:ascii="宋体" w:hAnsi="宋体"/>
          <w:color w:val="auto"/>
          <w:sz w:val="22"/>
          <w:highlight w:val="none"/>
        </w:rPr>
        <w:t>O</w:t>
      </w:r>
      <w:r>
        <w:rPr>
          <w:rFonts w:hint="eastAsia" w:ascii="宋体" w:hAnsi="宋体"/>
          <w:color w:val="auto"/>
          <w:sz w:val="22"/>
          <w:highlight w:val="none"/>
        </w:rPr>
        <w:t>战略       B.</w:t>
      </w:r>
      <w:r>
        <w:rPr>
          <w:rFonts w:ascii="宋体" w:hAnsi="宋体"/>
          <w:color w:val="auto"/>
          <w:sz w:val="22"/>
          <w:highlight w:val="none"/>
        </w:rPr>
        <w:t>W</w:t>
      </w:r>
      <w:r>
        <w:rPr>
          <w:rFonts w:hint="eastAsia" w:ascii="宋体" w:hAnsi="宋体"/>
          <w:color w:val="auto"/>
          <w:sz w:val="22"/>
          <w:highlight w:val="none"/>
        </w:rPr>
        <w:t>-</w:t>
      </w:r>
      <w:r>
        <w:rPr>
          <w:rFonts w:ascii="宋体" w:hAnsi="宋体"/>
          <w:color w:val="auto"/>
          <w:sz w:val="22"/>
          <w:highlight w:val="none"/>
        </w:rPr>
        <w:t>O</w:t>
      </w:r>
      <w:r>
        <w:rPr>
          <w:rFonts w:hint="eastAsia" w:ascii="宋体" w:hAnsi="宋体"/>
          <w:color w:val="auto"/>
          <w:sz w:val="22"/>
          <w:highlight w:val="none"/>
        </w:rPr>
        <w:t xml:space="preserve">战略      </w:t>
      </w:r>
      <w:r>
        <w:rPr>
          <w:rFonts w:hint="eastAsia" w:ascii="宋体" w:hAnsi="宋体"/>
          <w:color w:val="auto"/>
          <w:sz w:val="22"/>
          <w:highlight w:val="none"/>
        </w:rPr>
        <w:t xml:space="preserve"> C.S-</w:t>
      </w:r>
      <w:r>
        <w:rPr>
          <w:rFonts w:ascii="宋体" w:hAnsi="宋体"/>
          <w:color w:val="auto"/>
          <w:sz w:val="22"/>
          <w:highlight w:val="none"/>
        </w:rPr>
        <w:t>T</w:t>
      </w:r>
      <w:r>
        <w:rPr>
          <w:rFonts w:hint="eastAsia" w:ascii="宋体" w:hAnsi="宋体"/>
          <w:color w:val="auto"/>
          <w:sz w:val="22"/>
          <w:highlight w:val="none"/>
        </w:rPr>
        <w:t xml:space="preserve">战略 </w:t>
      </w:r>
      <w:r>
        <w:rPr>
          <w:rFonts w:hint="eastAsia" w:ascii="宋体" w:hAnsi="宋体"/>
          <w:color w:val="auto"/>
          <w:sz w:val="22"/>
          <w:highlight w:val="none"/>
        </w:rPr>
        <w:t xml:space="preserve">    D.</w:t>
      </w:r>
      <w:r>
        <w:rPr>
          <w:rFonts w:ascii="宋体" w:hAnsi="宋体"/>
          <w:color w:val="auto"/>
          <w:sz w:val="22"/>
          <w:highlight w:val="none"/>
        </w:rPr>
        <w:t>W</w:t>
      </w:r>
      <w:r>
        <w:rPr>
          <w:rFonts w:hint="eastAsia" w:ascii="宋体" w:hAnsi="宋体"/>
          <w:color w:val="auto"/>
          <w:sz w:val="22"/>
          <w:highlight w:val="none"/>
        </w:rPr>
        <w:t>-</w:t>
      </w:r>
      <w:r>
        <w:rPr>
          <w:rFonts w:ascii="宋体" w:hAnsi="宋体"/>
          <w:color w:val="auto"/>
          <w:sz w:val="22"/>
          <w:highlight w:val="none"/>
        </w:rPr>
        <w:t>T</w:t>
      </w:r>
      <w:r>
        <w:rPr>
          <w:rFonts w:hint="eastAsia" w:ascii="宋体" w:hAnsi="宋体"/>
          <w:color w:val="auto"/>
          <w:sz w:val="22"/>
          <w:highlight w:val="none"/>
        </w:rPr>
        <w:t>战略</w:t>
      </w:r>
    </w:p>
    <w:p>
      <w:pPr>
        <w:pStyle w:val="13"/>
        <w:spacing w:line="400" w:lineRule="exact"/>
        <w:ind w:firstLine="440"/>
        <w:rPr>
          <w:rFonts w:ascii="宋体" w:hAnsi="宋体"/>
          <w:color w:val="auto"/>
          <w:sz w:val="22"/>
          <w:highlight w:val="none"/>
        </w:rPr>
      </w:pPr>
    </w:p>
    <w:p>
      <w:pPr>
        <w:pStyle w:val="13"/>
        <w:spacing w:line="400" w:lineRule="exact"/>
        <w:ind w:firstLine="440"/>
        <w:rPr>
          <w:rFonts w:ascii="宋体" w:hAnsi="宋体"/>
          <w:color w:val="auto"/>
          <w:sz w:val="22"/>
          <w:highlight w:val="none"/>
        </w:rPr>
      </w:pPr>
      <w:r>
        <w:rPr>
          <w:rFonts w:ascii="宋体" w:hAnsi="宋体"/>
          <w:color w:val="auto"/>
          <w:sz w:val="22"/>
          <w:highlight w:val="none"/>
        </w:rPr>
        <w:t>1</w:t>
      </w:r>
      <w:r>
        <w:rPr>
          <w:rFonts w:hint="eastAsia" w:ascii="宋体" w:hAnsi="宋体"/>
          <w:color w:val="auto"/>
          <w:sz w:val="22"/>
          <w:highlight w:val="none"/>
        </w:rPr>
        <w:t>2</w:t>
      </w:r>
      <w:r>
        <w:rPr>
          <w:rFonts w:ascii="宋体" w:hAnsi="宋体"/>
          <w:color w:val="auto"/>
          <w:sz w:val="22"/>
          <w:highlight w:val="none"/>
        </w:rPr>
        <w:t>.</w:t>
      </w:r>
      <w:r>
        <w:rPr>
          <w:rFonts w:hint="eastAsia" w:ascii="宋体" w:hAnsi="宋体"/>
          <w:color w:val="auto"/>
          <w:sz w:val="22"/>
          <w:highlight w:val="none"/>
        </w:rPr>
        <w:t>下列关于标准手势描述正确的是（    ）。</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A.指示方向时，伸出左手，手掌向上，五指并拢，配合恰当的语言提示</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B.递送包裹时，双手递送，物品正面朝向自己，眼神交流面带微笑</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C.握手时，伸出双手，用力握紧表达真诚与自信</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D.递送剪刀时，把手朝向对方，刀尖朝向自己</w:t>
      </w:r>
    </w:p>
    <w:p>
      <w:pPr>
        <w:pStyle w:val="13"/>
        <w:spacing w:line="400" w:lineRule="exact"/>
        <w:ind w:firstLine="440"/>
        <w:rPr>
          <w:rFonts w:ascii="宋体" w:hAnsi="宋体"/>
          <w:color w:val="auto"/>
          <w:sz w:val="22"/>
          <w:highlight w:val="none"/>
        </w:rPr>
      </w:pP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阅读资料：随着互联网经济的不断发展，各种类型的中小型物流企业不断涌现。小王作为一名即将毕业的物流管理专业的学生，发现社区配送的需求不断增长，创业成本可控，有广阔的发展前景，决定依托自有小区物业创办一家小型的社区配送企业，并决定使用商业画布分析商业模式。</w:t>
      </w:r>
    </w:p>
    <w:p>
      <w:pPr>
        <w:pStyle w:val="13"/>
        <w:spacing w:line="400" w:lineRule="exact"/>
        <w:ind w:firstLine="440"/>
        <w:rPr>
          <w:rFonts w:ascii="宋体" w:hAnsi="宋体"/>
          <w:color w:val="auto"/>
          <w:sz w:val="22"/>
          <w:highlight w:val="none"/>
        </w:rPr>
      </w:pPr>
      <w:r>
        <w:rPr>
          <w:rFonts w:ascii="宋体" w:hAnsi="宋体"/>
          <w:color w:val="auto"/>
          <w:sz w:val="22"/>
          <w:highlight w:val="none"/>
        </w:rPr>
        <w:t>13.</w:t>
      </w:r>
      <w:r>
        <w:rPr>
          <w:rFonts w:hint="eastAsia" w:ascii="宋体" w:hAnsi="宋体"/>
          <w:color w:val="auto"/>
          <w:sz w:val="22"/>
          <w:highlight w:val="none"/>
        </w:rPr>
        <w:t xml:space="preserve">小王同学的关键业务最有可能的是（  </w:t>
      </w:r>
      <w:r>
        <w:rPr>
          <w:rFonts w:ascii="宋体" w:hAnsi="宋体"/>
          <w:color w:val="auto"/>
          <w:sz w:val="22"/>
          <w:highlight w:val="none"/>
        </w:rPr>
        <w:t xml:space="preserve"> </w:t>
      </w:r>
      <w:r>
        <w:rPr>
          <w:rFonts w:hint="eastAsia" w:ascii="宋体" w:hAnsi="宋体"/>
          <w:color w:val="auto"/>
          <w:sz w:val="22"/>
          <w:highlight w:val="none"/>
        </w:rPr>
        <w:t xml:space="preserve">  ）。</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A.寄养宠物业务        B.代订鲜花业务</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 xml:space="preserve">C.代理充值业务       </w:t>
      </w:r>
      <w:r>
        <w:rPr>
          <w:rFonts w:hint="eastAsia" w:ascii="宋体" w:hAnsi="宋体"/>
          <w:color w:val="auto"/>
          <w:sz w:val="22"/>
          <w:highlight w:val="none"/>
        </w:rPr>
        <w:t xml:space="preserve"> D.代理配送业务 </w:t>
      </w:r>
    </w:p>
    <w:p>
      <w:pPr>
        <w:pStyle w:val="13"/>
        <w:spacing w:line="400" w:lineRule="exact"/>
        <w:ind w:firstLine="440"/>
        <w:rPr>
          <w:rFonts w:ascii="宋体" w:hAnsi="宋体"/>
          <w:color w:val="auto"/>
          <w:sz w:val="22"/>
          <w:highlight w:val="none"/>
        </w:rPr>
      </w:pP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阅读资料：随着互联网经济的不断发展，各种类型的中小型物流企业不断涌现。小王作为一名即将毕业的物流管理专业的学生，发现社区配送的需求不断增长，创业成本可控，有广阔的发展前景，决定依托自有小区物业创办一家小型的社区配送企业，并决定使用商业画布分析商业模式。</w:t>
      </w:r>
    </w:p>
    <w:p>
      <w:pPr>
        <w:pStyle w:val="13"/>
        <w:spacing w:line="400" w:lineRule="exact"/>
        <w:ind w:firstLine="440"/>
        <w:rPr>
          <w:rFonts w:ascii="宋体" w:hAnsi="宋体"/>
          <w:color w:val="auto"/>
          <w:sz w:val="22"/>
          <w:highlight w:val="none"/>
        </w:rPr>
      </w:pPr>
      <w:r>
        <w:rPr>
          <w:rFonts w:ascii="宋体" w:hAnsi="宋体"/>
          <w:color w:val="auto"/>
          <w:sz w:val="22"/>
          <w:highlight w:val="none"/>
        </w:rPr>
        <w:t>14.</w:t>
      </w:r>
      <w:r>
        <w:rPr>
          <w:rFonts w:hint="eastAsia" w:ascii="宋体" w:hAnsi="宋体"/>
          <w:color w:val="auto"/>
          <w:sz w:val="22"/>
          <w:highlight w:val="none"/>
        </w:rPr>
        <w:t xml:space="preserve">小王最有可能的核心资源是（  </w:t>
      </w:r>
      <w:r>
        <w:rPr>
          <w:rFonts w:ascii="宋体" w:hAnsi="宋体"/>
          <w:color w:val="auto"/>
          <w:sz w:val="22"/>
          <w:highlight w:val="none"/>
        </w:rPr>
        <w:t xml:space="preserve"> </w:t>
      </w:r>
      <w:r>
        <w:rPr>
          <w:rFonts w:hint="eastAsia" w:ascii="宋体" w:hAnsi="宋体"/>
          <w:color w:val="auto"/>
          <w:sz w:val="22"/>
          <w:highlight w:val="none"/>
        </w:rPr>
        <w:t>）。</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A.配送优化知识</w:t>
      </w:r>
      <w:r>
        <w:rPr>
          <w:rFonts w:ascii="宋体" w:hAnsi="宋体"/>
          <w:color w:val="auto"/>
          <w:sz w:val="22"/>
          <w:highlight w:val="none"/>
        </w:rPr>
        <w:tab/>
      </w:r>
      <w:r>
        <w:rPr>
          <w:rFonts w:ascii="宋体" w:hAnsi="宋体"/>
          <w:color w:val="auto"/>
          <w:sz w:val="22"/>
          <w:highlight w:val="none"/>
        </w:rPr>
        <w:tab/>
      </w:r>
      <w:r>
        <w:rPr>
          <w:rFonts w:ascii="宋体" w:hAnsi="宋体"/>
          <w:color w:val="auto"/>
          <w:sz w:val="22"/>
          <w:highlight w:val="none"/>
        </w:rPr>
        <w:t xml:space="preserve">    </w:t>
      </w:r>
      <w:r>
        <w:rPr>
          <w:rFonts w:hint="eastAsia" w:ascii="宋体" w:hAnsi="宋体"/>
          <w:color w:val="auto"/>
          <w:sz w:val="22"/>
          <w:highlight w:val="none"/>
        </w:rPr>
        <w:t>B.配送团队</w:t>
      </w:r>
      <w:r>
        <w:rPr>
          <w:rFonts w:ascii="宋体" w:hAnsi="宋体"/>
          <w:color w:val="auto"/>
          <w:sz w:val="22"/>
          <w:highlight w:val="none"/>
        </w:rPr>
        <w:t xml:space="preserve"> </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C.配送场地</w:t>
      </w:r>
      <w:r>
        <w:rPr>
          <w:rFonts w:ascii="宋体" w:hAnsi="宋体"/>
          <w:color w:val="auto"/>
          <w:sz w:val="22"/>
          <w:highlight w:val="none"/>
        </w:rPr>
        <w:tab/>
      </w:r>
      <w:r>
        <w:rPr>
          <w:rFonts w:ascii="宋体" w:hAnsi="宋体"/>
          <w:color w:val="auto"/>
          <w:sz w:val="22"/>
          <w:highlight w:val="none"/>
        </w:rPr>
        <w:tab/>
      </w:r>
      <w:r>
        <w:rPr>
          <w:rFonts w:ascii="宋体" w:hAnsi="宋体"/>
          <w:color w:val="auto"/>
          <w:sz w:val="22"/>
          <w:highlight w:val="none"/>
        </w:rPr>
        <w:tab/>
      </w:r>
      <w:r>
        <w:rPr>
          <w:rFonts w:ascii="宋体" w:hAnsi="宋体"/>
          <w:color w:val="auto"/>
          <w:sz w:val="22"/>
          <w:highlight w:val="none"/>
        </w:rPr>
        <w:t xml:space="preserve"> </w:t>
      </w:r>
      <w:r>
        <w:rPr>
          <w:rFonts w:hint="eastAsia" w:ascii="宋体" w:hAnsi="宋体"/>
          <w:color w:val="auto"/>
          <w:sz w:val="22"/>
          <w:highlight w:val="none"/>
        </w:rPr>
        <w:t xml:space="preserve"> </w:t>
      </w:r>
      <w:r>
        <w:rPr>
          <w:rFonts w:ascii="宋体" w:hAnsi="宋体"/>
          <w:color w:val="auto"/>
          <w:sz w:val="22"/>
          <w:highlight w:val="none"/>
        </w:rPr>
        <w:t xml:space="preserve">  </w:t>
      </w:r>
      <w:r>
        <w:rPr>
          <w:rFonts w:hint="eastAsia" w:ascii="宋体" w:hAnsi="宋体"/>
          <w:color w:val="auto"/>
          <w:sz w:val="22"/>
          <w:highlight w:val="none"/>
        </w:rPr>
        <w:t xml:space="preserve">D.流动资金 </w:t>
      </w:r>
    </w:p>
    <w:p>
      <w:pPr>
        <w:pStyle w:val="13"/>
        <w:spacing w:line="400" w:lineRule="exact"/>
        <w:ind w:firstLine="440"/>
        <w:rPr>
          <w:rFonts w:ascii="宋体" w:hAnsi="宋体"/>
          <w:color w:val="auto"/>
          <w:sz w:val="22"/>
          <w:highlight w:val="none"/>
        </w:rPr>
      </w:pP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阅读资料：随着互联网经济的不断发展，各种类型的中小型物流企业不断涌现。小王作为一名即将毕业的物流管理专业的学生，发现社区配送的需求不断增长，创业成本可控，有广阔的发展前景，决定依托自有小区物业创办一家小型的社区配送企业，并决定使用商业画布分析商业模式。</w:t>
      </w:r>
    </w:p>
    <w:p>
      <w:pPr>
        <w:pStyle w:val="13"/>
        <w:spacing w:line="400" w:lineRule="exact"/>
        <w:ind w:firstLine="440"/>
        <w:rPr>
          <w:rFonts w:ascii="宋体" w:hAnsi="宋体"/>
          <w:color w:val="auto"/>
          <w:sz w:val="22"/>
          <w:highlight w:val="none"/>
        </w:rPr>
      </w:pPr>
      <w:r>
        <w:rPr>
          <w:rFonts w:ascii="宋体" w:hAnsi="宋体"/>
          <w:color w:val="auto"/>
          <w:sz w:val="22"/>
          <w:highlight w:val="none"/>
        </w:rPr>
        <w:t>15.</w:t>
      </w:r>
      <w:r>
        <w:rPr>
          <w:rFonts w:hint="eastAsia" w:ascii="宋体" w:hAnsi="宋体"/>
          <w:color w:val="auto"/>
          <w:sz w:val="22"/>
          <w:highlight w:val="none"/>
        </w:rPr>
        <w:t xml:space="preserve">小王同学商业模式成本结构中占比最高的成本项最有可能的是（ </w:t>
      </w:r>
      <w:r>
        <w:rPr>
          <w:rFonts w:ascii="宋体" w:hAnsi="宋体"/>
          <w:color w:val="auto"/>
          <w:sz w:val="22"/>
          <w:highlight w:val="none"/>
        </w:rPr>
        <w:t xml:space="preserve">   </w:t>
      </w:r>
      <w:r>
        <w:rPr>
          <w:rFonts w:hint="eastAsia" w:ascii="宋体" w:hAnsi="宋体"/>
          <w:color w:val="auto"/>
          <w:sz w:val="22"/>
          <w:highlight w:val="none"/>
        </w:rPr>
        <w:t xml:space="preserve"> ）。 </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 xml:space="preserve">A.营销费用 </w:t>
      </w:r>
      <w:r>
        <w:rPr>
          <w:rFonts w:ascii="宋体" w:hAnsi="宋体"/>
          <w:color w:val="auto"/>
          <w:sz w:val="22"/>
          <w:highlight w:val="none"/>
        </w:rPr>
        <w:t xml:space="preserve">         </w:t>
      </w:r>
      <w:r>
        <w:rPr>
          <w:rFonts w:hint="eastAsia" w:ascii="宋体" w:hAnsi="宋体"/>
          <w:color w:val="auto"/>
          <w:sz w:val="22"/>
          <w:highlight w:val="none"/>
        </w:rPr>
        <w:t xml:space="preserve">  B.管理成本 </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C.人员薪酬</w:t>
      </w:r>
      <w:r>
        <w:rPr>
          <w:rFonts w:ascii="宋体" w:hAnsi="宋体"/>
          <w:color w:val="auto"/>
          <w:sz w:val="22"/>
          <w:highlight w:val="none"/>
        </w:rPr>
        <w:tab/>
      </w:r>
      <w:r>
        <w:rPr>
          <w:rFonts w:ascii="宋体" w:hAnsi="宋体"/>
          <w:color w:val="auto"/>
          <w:sz w:val="22"/>
          <w:highlight w:val="none"/>
        </w:rPr>
        <w:tab/>
      </w:r>
      <w:r>
        <w:rPr>
          <w:rFonts w:ascii="宋体" w:hAnsi="宋体"/>
          <w:color w:val="auto"/>
          <w:sz w:val="22"/>
          <w:highlight w:val="none"/>
        </w:rPr>
        <w:tab/>
      </w:r>
      <w:r>
        <w:rPr>
          <w:rFonts w:ascii="宋体" w:hAnsi="宋体"/>
          <w:color w:val="auto"/>
          <w:sz w:val="22"/>
          <w:highlight w:val="none"/>
        </w:rPr>
        <w:t xml:space="preserve"> </w:t>
      </w:r>
      <w:r>
        <w:rPr>
          <w:rFonts w:hint="eastAsia" w:ascii="宋体" w:hAnsi="宋体"/>
          <w:color w:val="auto"/>
          <w:sz w:val="22"/>
          <w:highlight w:val="none"/>
        </w:rPr>
        <w:t xml:space="preserve">D.站点租金 </w:t>
      </w:r>
    </w:p>
    <w:p>
      <w:pPr>
        <w:pStyle w:val="13"/>
        <w:spacing w:line="400" w:lineRule="exact"/>
        <w:ind w:firstLine="440"/>
        <w:rPr>
          <w:rFonts w:ascii="宋体" w:hAnsi="宋体"/>
          <w:color w:val="auto"/>
          <w:sz w:val="22"/>
          <w:highlight w:val="none"/>
        </w:rPr>
      </w:pP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16.开会以座谈的形式直接了解调研对象相关信息的一种调研方法是（</w:t>
      </w:r>
      <w:r>
        <w:rPr>
          <w:rFonts w:ascii="宋体" w:hAnsi="宋体"/>
          <w:color w:val="auto"/>
          <w:sz w:val="22"/>
          <w:highlight w:val="none"/>
        </w:rPr>
        <w:t xml:space="preserve">    </w:t>
      </w:r>
      <w:r>
        <w:rPr>
          <w:rFonts w:hint="eastAsia" w:ascii="宋体" w:hAnsi="宋体"/>
          <w:color w:val="auto"/>
          <w:sz w:val="22"/>
          <w:highlight w:val="none"/>
        </w:rPr>
        <w:t>）。</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A. 会议调研</w:t>
      </w:r>
      <w:r>
        <w:rPr>
          <w:rFonts w:hint="eastAsia" w:ascii="宋体" w:hAnsi="宋体"/>
          <w:color w:val="auto"/>
          <w:sz w:val="22"/>
          <w:highlight w:val="none"/>
        </w:rPr>
        <w:t xml:space="preserve">    </w:t>
      </w:r>
      <w:r>
        <w:rPr>
          <w:rFonts w:hint="eastAsia" w:ascii="宋体" w:hAnsi="宋体"/>
          <w:color w:val="auto"/>
          <w:sz w:val="22"/>
          <w:highlight w:val="none"/>
        </w:rPr>
        <w:tab/>
      </w:r>
      <w:r>
        <w:rPr>
          <w:rFonts w:hint="eastAsia" w:ascii="宋体" w:hAnsi="宋体"/>
          <w:color w:val="auto"/>
          <w:sz w:val="22"/>
          <w:highlight w:val="none"/>
        </w:rPr>
        <w:tab/>
      </w:r>
      <w:r>
        <w:rPr>
          <w:rFonts w:hint="eastAsia" w:ascii="宋体" w:hAnsi="宋体"/>
          <w:color w:val="auto"/>
          <w:sz w:val="22"/>
          <w:highlight w:val="none"/>
        </w:rPr>
        <w:t xml:space="preserve">B. 实地调研 </w:t>
      </w:r>
      <w:r>
        <w:rPr>
          <w:rFonts w:ascii="宋体" w:hAnsi="宋体"/>
          <w:color w:val="auto"/>
          <w:sz w:val="22"/>
          <w:highlight w:val="none"/>
        </w:rPr>
        <w:t xml:space="preserve">  </w:t>
      </w:r>
      <w:r>
        <w:rPr>
          <w:rFonts w:ascii="宋体" w:hAnsi="宋体"/>
          <w:color w:val="auto"/>
          <w:sz w:val="22"/>
          <w:highlight w:val="none"/>
        </w:rPr>
        <w:tab/>
      </w:r>
      <w:r>
        <w:rPr>
          <w:rFonts w:hint="eastAsia" w:ascii="宋体" w:hAnsi="宋体"/>
          <w:color w:val="auto"/>
          <w:sz w:val="22"/>
          <w:highlight w:val="none"/>
        </w:rPr>
        <w:t>C. 问卷调查</w:t>
      </w:r>
      <w:r>
        <w:rPr>
          <w:rFonts w:hint="eastAsia" w:ascii="宋体" w:hAnsi="宋体"/>
          <w:color w:val="auto"/>
          <w:sz w:val="22"/>
          <w:highlight w:val="none"/>
        </w:rPr>
        <w:tab/>
      </w:r>
      <w:r>
        <w:rPr>
          <w:rFonts w:ascii="宋体" w:hAnsi="宋体"/>
          <w:color w:val="auto"/>
          <w:sz w:val="22"/>
          <w:highlight w:val="none"/>
        </w:rPr>
        <w:tab/>
      </w:r>
      <w:r>
        <w:rPr>
          <w:rFonts w:hint="eastAsia" w:ascii="宋体" w:hAnsi="宋体"/>
          <w:color w:val="auto"/>
          <w:sz w:val="22"/>
          <w:highlight w:val="none"/>
        </w:rPr>
        <w:t>D. 文献调研</w:t>
      </w:r>
    </w:p>
    <w:p>
      <w:pPr>
        <w:pStyle w:val="13"/>
        <w:spacing w:line="400" w:lineRule="exact"/>
        <w:ind w:firstLine="440"/>
        <w:rPr>
          <w:rFonts w:ascii="宋体" w:hAnsi="宋体"/>
          <w:color w:val="auto"/>
          <w:sz w:val="22"/>
          <w:highlight w:val="none"/>
        </w:rPr>
      </w:pP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17.客户开发的第一个步骤是（</w:t>
      </w:r>
      <w:r>
        <w:rPr>
          <w:rFonts w:ascii="宋体" w:hAnsi="宋体"/>
          <w:color w:val="auto"/>
          <w:sz w:val="22"/>
          <w:highlight w:val="none"/>
        </w:rPr>
        <w:t xml:space="preserve">     </w:t>
      </w:r>
      <w:r>
        <w:rPr>
          <w:rFonts w:hint="eastAsia" w:ascii="宋体" w:hAnsi="宋体"/>
          <w:color w:val="auto"/>
          <w:sz w:val="22"/>
          <w:highlight w:val="none"/>
        </w:rPr>
        <w:t>）。</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 xml:space="preserve">A. 发现客户   </w:t>
      </w:r>
      <w:r>
        <w:rPr>
          <w:rFonts w:hint="eastAsia" w:ascii="宋体" w:hAnsi="宋体"/>
          <w:color w:val="auto"/>
          <w:sz w:val="22"/>
          <w:highlight w:val="none"/>
        </w:rPr>
        <w:t xml:space="preserve"> </w:t>
      </w:r>
      <w:r>
        <w:rPr>
          <w:rFonts w:hint="eastAsia" w:ascii="宋体" w:hAnsi="宋体"/>
          <w:color w:val="auto"/>
          <w:sz w:val="22"/>
          <w:highlight w:val="none"/>
        </w:rPr>
        <w:tab/>
      </w:r>
      <w:r>
        <w:rPr>
          <w:rFonts w:hint="eastAsia" w:ascii="宋体" w:hAnsi="宋体"/>
          <w:color w:val="auto"/>
          <w:sz w:val="22"/>
          <w:highlight w:val="none"/>
        </w:rPr>
        <w:tab/>
      </w:r>
      <w:r>
        <w:rPr>
          <w:rFonts w:hint="eastAsia" w:ascii="宋体" w:hAnsi="宋体"/>
          <w:color w:val="auto"/>
          <w:sz w:val="22"/>
          <w:highlight w:val="none"/>
        </w:rPr>
        <w:t xml:space="preserve">B. 认知客户  </w:t>
      </w:r>
      <w:r>
        <w:rPr>
          <w:rFonts w:ascii="宋体" w:hAnsi="宋体"/>
          <w:color w:val="auto"/>
          <w:sz w:val="22"/>
          <w:highlight w:val="none"/>
        </w:rPr>
        <w:t xml:space="preserve">  </w:t>
      </w:r>
      <w:r>
        <w:rPr>
          <w:rFonts w:ascii="宋体" w:hAnsi="宋体"/>
          <w:color w:val="auto"/>
          <w:sz w:val="22"/>
          <w:highlight w:val="none"/>
        </w:rPr>
        <w:tab/>
      </w:r>
      <w:r>
        <w:rPr>
          <w:rFonts w:hint="eastAsia" w:ascii="宋体" w:hAnsi="宋体"/>
          <w:color w:val="auto"/>
          <w:sz w:val="22"/>
          <w:highlight w:val="none"/>
        </w:rPr>
        <w:t>C. 开发客户</w:t>
      </w:r>
      <w:r>
        <w:rPr>
          <w:rFonts w:hint="eastAsia" w:ascii="宋体" w:hAnsi="宋体"/>
          <w:color w:val="auto"/>
          <w:sz w:val="22"/>
          <w:highlight w:val="none"/>
        </w:rPr>
        <w:tab/>
      </w:r>
      <w:r>
        <w:rPr>
          <w:rFonts w:ascii="宋体" w:hAnsi="宋体"/>
          <w:color w:val="auto"/>
          <w:sz w:val="22"/>
          <w:highlight w:val="none"/>
        </w:rPr>
        <w:tab/>
      </w:r>
      <w:r>
        <w:rPr>
          <w:rFonts w:hint="eastAsia" w:ascii="宋体" w:hAnsi="宋体"/>
          <w:color w:val="auto"/>
          <w:sz w:val="22"/>
          <w:highlight w:val="none"/>
        </w:rPr>
        <w:t>D. 开展合作</w:t>
      </w:r>
    </w:p>
    <w:p>
      <w:pPr>
        <w:pStyle w:val="13"/>
        <w:spacing w:line="400" w:lineRule="exact"/>
        <w:ind w:firstLine="440"/>
        <w:rPr>
          <w:rFonts w:ascii="宋体" w:hAnsi="宋体"/>
          <w:color w:val="auto"/>
          <w:sz w:val="22"/>
          <w:highlight w:val="none"/>
        </w:rPr>
      </w:pP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18.节假日与没有买公司产品的客户多沟通属于（</w:t>
      </w:r>
      <w:r>
        <w:rPr>
          <w:rFonts w:ascii="宋体" w:hAnsi="宋体"/>
          <w:color w:val="auto"/>
          <w:sz w:val="22"/>
          <w:highlight w:val="none"/>
        </w:rPr>
        <w:t xml:space="preserve">    </w:t>
      </w:r>
      <w:r>
        <w:rPr>
          <w:rFonts w:hint="eastAsia" w:ascii="宋体" w:hAnsi="宋体"/>
          <w:color w:val="auto"/>
          <w:sz w:val="22"/>
          <w:highlight w:val="none"/>
        </w:rPr>
        <w:t>）。</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 xml:space="preserve">A.服务型跟进策略                         </w:t>
      </w:r>
      <w:r>
        <w:rPr>
          <w:rFonts w:hint="eastAsia" w:ascii="宋体" w:hAnsi="宋体"/>
          <w:color w:val="auto"/>
          <w:sz w:val="22"/>
          <w:highlight w:val="none"/>
        </w:rPr>
        <w:t xml:space="preserve">B.长远型跟进策略  </w:t>
      </w:r>
      <w:r>
        <w:rPr>
          <w:rFonts w:ascii="宋体" w:hAnsi="宋体"/>
          <w:color w:val="auto"/>
          <w:sz w:val="22"/>
          <w:highlight w:val="none"/>
        </w:rPr>
        <w:t xml:space="preserve"> </w:t>
      </w:r>
      <w:r>
        <w:rPr>
          <w:rFonts w:ascii="宋体" w:hAnsi="宋体"/>
          <w:color w:val="auto"/>
          <w:sz w:val="22"/>
          <w:highlight w:val="none"/>
        </w:rPr>
        <w:t xml:space="preserve"> </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C.转变型跟进策略</w:t>
      </w:r>
      <w:r>
        <w:rPr>
          <w:rFonts w:hint="eastAsia" w:ascii="宋体" w:hAnsi="宋体"/>
          <w:color w:val="auto"/>
          <w:sz w:val="22"/>
          <w:highlight w:val="none"/>
        </w:rPr>
        <w:tab/>
      </w:r>
      <w:r>
        <w:rPr>
          <w:rFonts w:hint="eastAsia" w:ascii="宋体" w:hAnsi="宋体"/>
          <w:color w:val="auto"/>
          <w:sz w:val="22"/>
          <w:highlight w:val="none"/>
        </w:rPr>
        <w:t xml:space="preserve">                      D.下调价格</w:t>
      </w:r>
    </w:p>
    <w:p>
      <w:pPr>
        <w:pStyle w:val="13"/>
        <w:spacing w:line="400" w:lineRule="exact"/>
        <w:ind w:firstLine="440"/>
        <w:rPr>
          <w:rFonts w:ascii="宋体" w:hAnsi="宋体"/>
          <w:color w:val="auto"/>
          <w:sz w:val="22"/>
          <w:highlight w:val="none"/>
        </w:rPr>
      </w:pP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19.简单介绍招标单位名称，招标项目名称及内容，招标形式，售标、投标、开标时间地点等内容属于物流管理项目招标书中的（</w:t>
      </w:r>
      <w:r>
        <w:rPr>
          <w:rFonts w:ascii="宋体" w:hAnsi="宋体"/>
          <w:color w:val="auto"/>
          <w:sz w:val="22"/>
          <w:highlight w:val="none"/>
        </w:rPr>
        <w:t xml:space="preserve">     </w:t>
      </w:r>
      <w:r>
        <w:rPr>
          <w:rFonts w:hint="eastAsia" w:ascii="宋体" w:hAnsi="宋体"/>
          <w:color w:val="auto"/>
          <w:sz w:val="22"/>
          <w:highlight w:val="none"/>
        </w:rPr>
        <w:t>）。</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A. 投标人须知</w:t>
      </w:r>
      <w:r>
        <w:rPr>
          <w:rFonts w:hint="eastAsia" w:ascii="宋体" w:hAnsi="宋体"/>
          <w:color w:val="auto"/>
          <w:sz w:val="22"/>
          <w:highlight w:val="none"/>
        </w:rPr>
        <w:tab/>
      </w:r>
      <w:r>
        <w:rPr>
          <w:rFonts w:hint="eastAsia" w:ascii="宋体" w:hAnsi="宋体"/>
          <w:color w:val="auto"/>
          <w:sz w:val="22"/>
          <w:highlight w:val="none"/>
        </w:rPr>
        <w:tab/>
      </w:r>
      <w:r>
        <w:rPr>
          <w:rFonts w:hint="eastAsia" w:ascii="宋体" w:hAnsi="宋体"/>
          <w:color w:val="auto"/>
          <w:sz w:val="22"/>
          <w:highlight w:val="none"/>
        </w:rPr>
        <w:t xml:space="preserve">                     </w:t>
      </w:r>
      <w:r>
        <w:rPr>
          <w:rFonts w:hint="eastAsia" w:ascii="宋体" w:hAnsi="宋体"/>
          <w:color w:val="auto"/>
          <w:sz w:val="22"/>
          <w:highlight w:val="none"/>
        </w:rPr>
        <w:t xml:space="preserve">  B. 招标邀请书</w:t>
      </w:r>
      <w:r>
        <w:rPr>
          <w:rFonts w:ascii="宋体" w:hAnsi="宋体"/>
          <w:color w:val="auto"/>
          <w:sz w:val="22"/>
          <w:highlight w:val="none"/>
        </w:rPr>
        <w:t xml:space="preserve">  </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 xml:space="preserve">C. 招标企业介绍 </w:t>
      </w:r>
      <w:r>
        <w:rPr>
          <w:rFonts w:ascii="宋体" w:hAnsi="宋体"/>
          <w:color w:val="auto"/>
          <w:sz w:val="22"/>
          <w:highlight w:val="none"/>
        </w:rPr>
        <w:tab/>
      </w:r>
      <w:r>
        <w:rPr>
          <w:rFonts w:hint="eastAsia" w:ascii="宋体" w:hAnsi="宋体"/>
          <w:color w:val="auto"/>
          <w:sz w:val="22"/>
          <w:highlight w:val="none"/>
        </w:rPr>
        <w:t xml:space="preserve">                       D. 物流服务费用构成</w:t>
      </w:r>
    </w:p>
    <w:p>
      <w:pPr>
        <w:pStyle w:val="13"/>
        <w:spacing w:line="400" w:lineRule="exact"/>
        <w:ind w:firstLine="440"/>
        <w:rPr>
          <w:rFonts w:ascii="宋体" w:hAnsi="宋体"/>
          <w:color w:val="auto"/>
          <w:sz w:val="22"/>
          <w:highlight w:val="none"/>
        </w:rPr>
      </w:pP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20</w:t>
      </w:r>
      <w:bookmarkStart w:id="0" w:name="_Hlk89443991"/>
      <w:r>
        <w:rPr>
          <w:rFonts w:hint="eastAsia" w:ascii="宋体" w:hAnsi="宋体"/>
          <w:color w:val="auto"/>
          <w:sz w:val="22"/>
          <w:highlight w:val="none"/>
          <w:lang w:eastAsia="zh-CN"/>
        </w:rPr>
        <w:t>.</w:t>
      </w:r>
      <w:r>
        <w:rPr>
          <w:rFonts w:hint="eastAsia" w:ascii="宋体" w:hAnsi="宋体"/>
          <w:color w:val="auto"/>
          <w:sz w:val="22"/>
          <w:highlight w:val="none"/>
        </w:rPr>
        <w:t>在《招标投标法实施条例》中明确规定了投标保证金不得超过招标项目估算价的（</w:t>
      </w:r>
      <w:r>
        <w:rPr>
          <w:rFonts w:hint="eastAsia" w:ascii="宋体" w:hAnsi="宋体"/>
          <w:color w:val="auto"/>
          <w:sz w:val="22"/>
          <w:highlight w:val="none"/>
          <w:lang w:val="en-US" w:eastAsia="zh-CN"/>
        </w:rPr>
        <w:t xml:space="preserve">    </w:t>
      </w:r>
      <w:r>
        <w:rPr>
          <w:rFonts w:hint="eastAsia" w:ascii="宋体" w:hAnsi="宋体"/>
          <w:color w:val="auto"/>
          <w:sz w:val="22"/>
          <w:highlight w:val="none"/>
        </w:rPr>
        <w:t>）。</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A.0.01</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B.0.02</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C.0.03</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D.0.04</w:t>
      </w:r>
    </w:p>
    <w:bookmarkEnd w:id="0"/>
    <w:p>
      <w:pPr>
        <w:pStyle w:val="13"/>
        <w:spacing w:line="400" w:lineRule="exact"/>
        <w:ind w:firstLine="440"/>
        <w:rPr>
          <w:rFonts w:hint="eastAsia" w:ascii="宋体" w:hAnsi="宋体"/>
          <w:color w:val="auto"/>
          <w:sz w:val="22"/>
          <w:highlight w:val="none"/>
        </w:rPr>
      </w:pP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21</w:t>
      </w:r>
      <w:bookmarkStart w:id="1" w:name="_Hlk89447858"/>
      <w:bookmarkStart w:id="2" w:name="_Hlk89445430"/>
      <w:r>
        <w:rPr>
          <w:rFonts w:hint="eastAsia" w:ascii="宋体" w:hAnsi="宋体"/>
          <w:color w:val="auto"/>
          <w:sz w:val="22"/>
          <w:highlight w:val="none"/>
          <w:lang w:eastAsia="zh-CN"/>
        </w:rPr>
        <w:t>.</w:t>
      </w:r>
      <w:r>
        <w:rPr>
          <w:rFonts w:hint="eastAsia" w:ascii="宋体" w:hAnsi="宋体"/>
          <w:color w:val="auto"/>
          <w:sz w:val="22"/>
          <w:highlight w:val="none"/>
        </w:rPr>
        <w:t>某物流配送中心在建设过程中，由于项目因设计或设备及外界环境条件的变更，达不到预定生产能力，所引起的风险属于（</w:t>
      </w:r>
      <w:r>
        <w:rPr>
          <w:rFonts w:hint="eastAsia" w:ascii="宋体" w:hAnsi="宋体"/>
          <w:color w:val="auto"/>
          <w:sz w:val="22"/>
          <w:highlight w:val="none"/>
          <w:lang w:val="en-US" w:eastAsia="zh-CN"/>
        </w:rPr>
        <w:t xml:space="preserve">  </w:t>
      </w:r>
      <w:r>
        <w:rPr>
          <w:rFonts w:hint="eastAsia" w:ascii="宋体" w:hAnsi="宋体"/>
          <w:color w:val="auto"/>
          <w:sz w:val="22"/>
          <w:highlight w:val="none"/>
        </w:rPr>
        <w:t>）。</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A.计划风险</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B.工期风险</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C.费用风险</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D.成果风险</w:t>
      </w:r>
      <w:bookmarkEnd w:id="1"/>
    </w:p>
    <w:bookmarkEnd w:id="2"/>
    <w:p>
      <w:pPr>
        <w:pStyle w:val="13"/>
        <w:spacing w:line="400" w:lineRule="exact"/>
        <w:ind w:firstLine="440"/>
        <w:rPr>
          <w:rFonts w:ascii="宋体" w:hAnsi="宋体"/>
          <w:color w:val="auto"/>
          <w:sz w:val="22"/>
          <w:highlight w:val="none"/>
        </w:rPr>
      </w:pP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22</w:t>
      </w:r>
      <w:bookmarkStart w:id="3" w:name="_Hlk89444019"/>
      <w:r>
        <w:rPr>
          <w:rFonts w:hint="eastAsia" w:ascii="宋体" w:hAnsi="宋体"/>
          <w:color w:val="auto"/>
          <w:sz w:val="22"/>
          <w:highlight w:val="none"/>
          <w:lang w:eastAsia="zh-CN"/>
        </w:rPr>
        <w:t>.</w:t>
      </w:r>
      <w:r>
        <w:rPr>
          <w:rFonts w:hint="eastAsia" w:ascii="宋体" w:hAnsi="宋体"/>
          <w:color w:val="auto"/>
          <w:sz w:val="22"/>
          <w:highlight w:val="none"/>
        </w:rPr>
        <w:t>分析类似项目的历史信息，积累了一定信息和知识，对比本项目的情况，发现未来风险。这种识别物流项目风险的方法是</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A.问询法</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B.核查表法</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C.敏感性分析法</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D.事故树分析法</w:t>
      </w:r>
      <w:bookmarkEnd w:id="3"/>
    </w:p>
    <w:p>
      <w:pPr>
        <w:pStyle w:val="13"/>
        <w:spacing w:line="400" w:lineRule="exact"/>
        <w:ind w:firstLine="440"/>
        <w:rPr>
          <w:rFonts w:ascii="宋体" w:hAnsi="宋体"/>
          <w:color w:val="auto"/>
          <w:sz w:val="22"/>
          <w:highlight w:val="none"/>
        </w:rPr>
      </w:pPr>
    </w:p>
    <w:p>
      <w:pPr>
        <w:pStyle w:val="13"/>
        <w:spacing w:line="400" w:lineRule="exact"/>
        <w:ind w:firstLine="440"/>
        <w:rPr>
          <w:rFonts w:ascii="宋体" w:hAnsi="宋体"/>
          <w:color w:val="auto"/>
          <w:sz w:val="22"/>
          <w:highlight w:val="none"/>
        </w:rPr>
      </w:pP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23</w:t>
      </w:r>
      <w:r>
        <w:rPr>
          <w:rFonts w:ascii="宋体" w:hAnsi="宋体"/>
          <w:color w:val="auto"/>
          <w:sz w:val="22"/>
          <w:highlight w:val="none"/>
        </w:rPr>
        <w:t>.</w:t>
      </w:r>
      <w:r>
        <w:rPr>
          <w:rFonts w:hint="eastAsia" w:ascii="宋体" w:hAnsi="宋体"/>
          <w:color w:val="auto"/>
          <w:sz w:val="22"/>
          <w:highlight w:val="none"/>
        </w:rPr>
        <w:t xml:space="preserve"> 某平置库存储区地坪荷载为2t/m2，库高6m，计划入库一批金属零件，包装规格为600mm×500mm×1000mm，单体毛重为60kg，包装标识限高为5层，则这批货物的可堆存层数为（ </w:t>
      </w:r>
      <w:r>
        <w:rPr>
          <w:rFonts w:ascii="宋体" w:hAnsi="宋体"/>
          <w:color w:val="auto"/>
          <w:sz w:val="22"/>
          <w:highlight w:val="none"/>
        </w:rPr>
        <w:t xml:space="preserve"> </w:t>
      </w:r>
      <w:r>
        <w:rPr>
          <w:rFonts w:hint="eastAsia" w:ascii="宋体" w:hAnsi="宋体"/>
          <w:color w:val="auto"/>
          <w:sz w:val="22"/>
          <w:highlight w:val="none"/>
        </w:rPr>
        <w:t xml:space="preserve">  ）。</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A.3</w:t>
      </w:r>
      <w:r>
        <w:rPr>
          <w:rFonts w:hint="eastAsia" w:ascii="宋体" w:hAnsi="宋体"/>
          <w:color w:val="auto"/>
          <w:sz w:val="22"/>
          <w:highlight w:val="none"/>
        </w:rPr>
        <w:tab/>
      </w:r>
      <w:r>
        <w:rPr>
          <w:rFonts w:hint="eastAsia" w:ascii="宋体" w:hAnsi="宋体"/>
          <w:color w:val="auto"/>
          <w:sz w:val="22"/>
          <w:highlight w:val="none"/>
        </w:rPr>
        <w:tab/>
      </w:r>
      <w:r>
        <w:rPr>
          <w:rFonts w:ascii="宋体" w:hAnsi="宋体"/>
          <w:color w:val="auto"/>
          <w:sz w:val="22"/>
          <w:highlight w:val="none"/>
        </w:rPr>
        <w:tab/>
      </w:r>
      <w:r>
        <w:rPr>
          <w:rFonts w:hint="eastAsia" w:ascii="宋体" w:hAnsi="宋体"/>
          <w:color w:val="auto"/>
          <w:sz w:val="22"/>
          <w:highlight w:val="none"/>
        </w:rPr>
        <w:t>B.4</w:t>
      </w:r>
      <w:r>
        <w:rPr>
          <w:rFonts w:hint="eastAsia" w:ascii="宋体" w:hAnsi="宋体"/>
          <w:color w:val="auto"/>
          <w:sz w:val="22"/>
          <w:highlight w:val="none"/>
        </w:rPr>
        <w:tab/>
      </w:r>
      <w:r>
        <w:rPr>
          <w:rFonts w:ascii="宋体" w:hAnsi="宋体"/>
          <w:color w:val="auto"/>
          <w:sz w:val="22"/>
          <w:highlight w:val="none"/>
        </w:rPr>
        <w:tab/>
      </w:r>
      <w:r>
        <w:rPr>
          <w:rFonts w:ascii="宋体" w:hAnsi="宋体"/>
          <w:color w:val="auto"/>
          <w:sz w:val="22"/>
          <w:highlight w:val="none"/>
        </w:rPr>
        <w:tab/>
      </w:r>
      <w:r>
        <w:rPr>
          <w:rFonts w:hint="eastAsia" w:ascii="宋体" w:hAnsi="宋体"/>
          <w:color w:val="auto"/>
          <w:sz w:val="22"/>
          <w:highlight w:val="none"/>
        </w:rPr>
        <w:t>C.5</w:t>
      </w:r>
      <w:r>
        <w:rPr>
          <w:rFonts w:hint="eastAsia" w:ascii="宋体" w:hAnsi="宋体"/>
          <w:color w:val="auto"/>
          <w:sz w:val="22"/>
          <w:highlight w:val="none"/>
        </w:rPr>
        <w:tab/>
      </w:r>
      <w:r>
        <w:rPr>
          <w:rFonts w:ascii="宋体" w:hAnsi="宋体"/>
          <w:color w:val="auto"/>
          <w:sz w:val="22"/>
          <w:highlight w:val="none"/>
        </w:rPr>
        <w:tab/>
      </w:r>
      <w:r>
        <w:rPr>
          <w:rFonts w:ascii="宋体" w:hAnsi="宋体"/>
          <w:color w:val="auto"/>
          <w:sz w:val="22"/>
          <w:highlight w:val="none"/>
        </w:rPr>
        <w:tab/>
      </w:r>
      <w:r>
        <w:rPr>
          <w:rFonts w:hint="eastAsia" w:ascii="宋体" w:hAnsi="宋体"/>
          <w:color w:val="auto"/>
          <w:sz w:val="22"/>
          <w:highlight w:val="none"/>
        </w:rPr>
        <w:t>D.6</w:t>
      </w:r>
    </w:p>
    <w:p>
      <w:pPr>
        <w:pStyle w:val="13"/>
        <w:spacing w:line="400" w:lineRule="exact"/>
        <w:ind w:firstLine="440"/>
        <w:rPr>
          <w:rFonts w:ascii="宋体" w:hAnsi="宋体"/>
          <w:color w:val="auto"/>
          <w:sz w:val="22"/>
          <w:highlight w:val="none"/>
        </w:rPr>
      </w:pP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lang w:val="en-US" w:eastAsia="zh-CN"/>
        </w:rPr>
        <w:t>24.</w:t>
      </w:r>
      <w:r>
        <w:rPr>
          <w:rFonts w:hint="eastAsia" w:ascii="宋体" w:hAnsi="宋体"/>
          <w:color w:val="auto"/>
          <w:sz w:val="22"/>
          <w:highlight w:val="none"/>
        </w:rPr>
        <w:t>众物智联物流与供应链集团收到供应商入库通知单一份，到货物品为日用品、家电电器等，其中家用电器物品主要目的为近期大促提前备货，计划存储至众物智联物流与供应链集团前置仓（云仓），日用品存储至立体库区。作为众物智联物流与供应链集团物流中心仓库主管小王，需要合理编制入库作业计划，以确保物品安全、快速进行存储作业。为保证计划入库物品能够顺利入库，小王应在入库前准备出足够的货位和上架所需要的托盘，在计算所需货位及托盘数量时应考虑的因素不包括：（）。</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A.托盘的规格</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B.叉车的类型</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C.叉车作业要求</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D.物动量分类</w:t>
      </w:r>
    </w:p>
    <w:p>
      <w:pPr>
        <w:spacing w:line="360" w:lineRule="auto"/>
        <w:rPr>
          <w:color w:val="auto"/>
          <w:sz w:val="24"/>
          <w:szCs w:val="24"/>
          <w:highlight w:val="none"/>
        </w:rPr>
      </w:pP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25</w:t>
      </w:r>
      <w:r>
        <w:rPr>
          <w:rFonts w:hint="eastAsia" w:ascii="宋体" w:hAnsi="宋体"/>
          <w:color w:val="auto"/>
          <w:sz w:val="22"/>
          <w:highlight w:val="none"/>
          <w:lang w:eastAsia="zh-CN"/>
        </w:rPr>
        <w:t>.</w:t>
      </w:r>
      <w:r>
        <w:rPr>
          <w:rFonts w:hint="eastAsia" w:ascii="宋体" w:hAnsi="宋体"/>
          <w:color w:val="auto"/>
          <w:sz w:val="22"/>
          <w:highlight w:val="none"/>
        </w:rPr>
        <w:t>ABC库存分析中C类商品为（）。</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A.价值占比75%左右，而品种占比15％左右</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B.价值占比5%左右，而品种占比55％左右</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C.价值占比75%左右，而品种占比75%左右</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D.价值占比20%左右，而品种占比20%左右</w:t>
      </w:r>
    </w:p>
    <w:p>
      <w:pPr>
        <w:pStyle w:val="13"/>
        <w:spacing w:line="400" w:lineRule="exact"/>
        <w:ind w:firstLine="440"/>
        <w:rPr>
          <w:rFonts w:ascii="宋体" w:hAnsi="宋体"/>
          <w:color w:val="auto"/>
          <w:sz w:val="22"/>
          <w:highlight w:val="none"/>
        </w:rPr>
      </w:pP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阅读资料：2020年12月5日上午10：00，众物智联物流与供应链集团南京分公司收到上游供应商入库通知单一份、下游多个客户订货单若干。其中上游客户到货物品为日用品A（外包装尺寸为385*290*280mm）和某型号家用电器B（590*490*480mm），其中家用电器物品主要用途为近期促销活动提前备货，计划存储至众物智联物流与供应链集团南京分公司前置仓（云仓），日用品存储至立体库区，要求中午12：00之前入库完毕。下游客户订单要求当天16：00前完成发货。</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作为众物智联物流与供应链集团南京分公司物流中心仓库员小王，在处理客户订单时，发现某一客户订单上联系人与客户档案不符，将之视为无效订单。此外通过对其他下游客户订单EIQ分析，发现其结果为IK值高，而EN值大。</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26.背景材料中所提到的EIQ分析结果为IK值高，“IK”指的是（</w:t>
      </w:r>
      <w:r>
        <w:rPr>
          <w:rFonts w:ascii="宋体" w:hAnsi="宋体"/>
          <w:color w:val="auto"/>
          <w:sz w:val="22"/>
          <w:highlight w:val="none"/>
        </w:rPr>
        <w:t xml:space="preserve">   ）</w:t>
      </w:r>
      <w:r>
        <w:rPr>
          <w:rFonts w:hint="eastAsia" w:ascii="宋体" w:hAnsi="宋体"/>
          <w:color w:val="auto"/>
          <w:sz w:val="22"/>
          <w:highlight w:val="none"/>
        </w:rPr>
        <w:t>。</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A.订单数量</w:t>
      </w:r>
      <w:r>
        <w:rPr>
          <w:rFonts w:hint="eastAsia" w:ascii="宋体" w:hAnsi="宋体"/>
          <w:color w:val="auto"/>
          <w:sz w:val="22"/>
          <w:highlight w:val="none"/>
        </w:rPr>
        <w:tab/>
      </w:r>
      <w:r>
        <w:rPr>
          <w:rFonts w:hint="eastAsia" w:ascii="宋体" w:hAnsi="宋体"/>
          <w:color w:val="auto"/>
          <w:sz w:val="22"/>
          <w:highlight w:val="none"/>
        </w:rPr>
        <w:tab/>
      </w:r>
      <w:r>
        <w:rPr>
          <w:rFonts w:ascii="宋体" w:hAnsi="宋体"/>
          <w:color w:val="auto"/>
          <w:sz w:val="22"/>
          <w:highlight w:val="none"/>
        </w:rPr>
        <w:tab/>
      </w:r>
      <w:r>
        <w:rPr>
          <w:rFonts w:hint="eastAsia" w:ascii="宋体" w:hAnsi="宋体"/>
          <w:color w:val="auto"/>
          <w:sz w:val="22"/>
          <w:highlight w:val="none"/>
        </w:rPr>
        <w:t xml:space="preserve">B.订单品项数 </w:t>
      </w:r>
      <w:r>
        <w:rPr>
          <w:rFonts w:hint="eastAsia" w:ascii="宋体" w:hAnsi="宋体"/>
          <w:color w:val="auto"/>
          <w:sz w:val="22"/>
          <w:highlight w:val="none"/>
        </w:rPr>
        <w:tab/>
      </w:r>
      <w:r>
        <w:rPr>
          <w:rFonts w:hint="eastAsia" w:ascii="宋体" w:hAnsi="宋体"/>
          <w:color w:val="auto"/>
          <w:sz w:val="22"/>
          <w:highlight w:val="none"/>
        </w:rPr>
        <w:tab/>
      </w:r>
      <w:r>
        <w:rPr>
          <w:rFonts w:hint="eastAsia" w:ascii="宋体" w:hAnsi="宋体"/>
          <w:color w:val="auto"/>
          <w:sz w:val="22"/>
          <w:highlight w:val="none"/>
        </w:rPr>
        <w:t>C.品项订购次数</w:t>
      </w:r>
      <w:r>
        <w:rPr>
          <w:rFonts w:hint="eastAsia" w:ascii="宋体" w:hAnsi="宋体"/>
          <w:color w:val="auto"/>
          <w:sz w:val="22"/>
          <w:highlight w:val="none"/>
        </w:rPr>
        <w:tab/>
      </w:r>
      <w:r>
        <w:rPr>
          <w:rFonts w:hint="eastAsia" w:ascii="宋体" w:hAnsi="宋体"/>
          <w:color w:val="auto"/>
          <w:sz w:val="22"/>
          <w:highlight w:val="none"/>
        </w:rPr>
        <w:tab/>
      </w:r>
      <w:r>
        <w:rPr>
          <w:rFonts w:hint="eastAsia" w:ascii="宋体" w:hAnsi="宋体"/>
          <w:color w:val="auto"/>
          <w:sz w:val="22"/>
          <w:highlight w:val="none"/>
        </w:rPr>
        <w:t>D.时间要求频率</w:t>
      </w:r>
    </w:p>
    <w:p>
      <w:pPr>
        <w:pStyle w:val="13"/>
        <w:spacing w:line="400" w:lineRule="exact"/>
        <w:ind w:firstLine="440"/>
        <w:rPr>
          <w:rFonts w:ascii="宋体" w:hAnsi="宋体"/>
          <w:color w:val="auto"/>
          <w:sz w:val="22"/>
          <w:highlight w:val="none"/>
        </w:rPr>
      </w:pP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阅读资料：2020年12月5日上午10：00，众物智联物流与供应链集团南京分公司收到上游供应商入库通知单一份、下游多个客户订货单若干。其中上游客户到货物品为日用品A（外包装尺寸为385*290*280mm）和某型号家用电器B（590*490*480mm），其中家用电器物品主要用途为近期促销活动提前备货，计划存储至众物智联物流与供应链集团南京分公司前置仓（云仓），日用品存储至立体库区，要求中午12：00之前入库完毕。下游客户订单要求当天16：00前完成发货。</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作为众物智联物流与供应链集团南京分公司物流中心仓库员小王，在处理客户订单时，发现某一客户订单上联系人与客户档案不符，将之视为无效订单。此外通过对其他下游客户订单EIQ分析，发现其结果为IK值高，而EN值大。</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 xml:space="preserve">27.本次作业中，较为合适的拣货作业方式是（ </w:t>
      </w:r>
      <w:r>
        <w:rPr>
          <w:rFonts w:ascii="宋体" w:hAnsi="宋体"/>
          <w:color w:val="auto"/>
          <w:sz w:val="22"/>
          <w:highlight w:val="none"/>
        </w:rPr>
        <w:t xml:space="preserve">   ）。</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A.摘果式拣选</w:t>
      </w:r>
      <w:r>
        <w:rPr>
          <w:rFonts w:hint="eastAsia" w:ascii="宋体" w:hAnsi="宋体"/>
          <w:color w:val="auto"/>
          <w:sz w:val="22"/>
          <w:highlight w:val="none"/>
        </w:rPr>
        <w:tab/>
      </w:r>
      <w:r>
        <w:rPr>
          <w:rFonts w:hint="eastAsia" w:ascii="宋体" w:hAnsi="宋体"/>
          <w:color w:val="auto"/>
          <w:sz w:val="22"/>
          <w:highlight w:val="none"/>
        </w:rPr>
        <w:tab/>
      </w:r>
      <w:r>
        <w:rPr>
          <w:rFonts w:hint="eastAsia" w:ascii="宋体" w:hAnsi="宋体"/>
          <w:color w:val="auto"/>
          <w:sz w:val="22"/>
          <w:highlight w:val="none"/>
        </w:rPr>
        <w:t>B.播种式拣选</w:t>
      </w:r>
      <w:r>
        <w:rPr>
          <w:rFonts w:hint="eastAsia" w:ascii="宋体" w:hAnsi="宋体"/>
          <w:color w:val="auto"/>
          <w:sz w:val="22"/>
          <w:highlight w:val="none"/>
        </w:rPr>
        <w:tab/>
      </w:r>
      <w:r>
        <w:rPr>
          <w:rFonts w:hint="eastAsia" w:ascii="宋体" w:hAnsi="宋体"/>
          <w:color w:val="auto"/>
          <w:sz w:val="22"/>
          <w:highlight w:val="none"/>
        </w:rPr>
        <w:t xml:space="preserve">   C.接力式拣选</w:t>
      </w:r>
      <w:r>
        <w:rPr>
          <w:rFonts w:hint="eastAsia" w:ascii="宋体" w:hAnsi="宋体"/>
          <w:color w:val="auto"/>
          <w:sz w:val="22"/>
          <w:highlight w:val="none"/>
        </w:rPr>
        <w:tab/>
      </w:r>
      <w:r>
        <w:rPr>
          <w:rFonts w:hint="eastAsia" w:ascii="宋体" w:hAnsi="宋体"/>
          <w:color w:val="auto"/>
          <w:sz w:val="22"/>
          <w:highlight w:val="none"/>
        </w:rPr>
        <w:t xml:space="preserve">       </w:t>
      </w:r>
      <w:r>
        <w:rPr>
          <w:rFonts w:hint="eastAsia" w:ascii="宋体" w:hAnsi="宋体"/>
          <w:color w:val="auto"/>
          <w:sz w:val="22"/>
          <w:highlight w:val="none"/>
        </w:rPr>
        <w:t>D.混合式拣选</w:t>
      </w:r>
    </w:p>
    <w:p>
      <w:pPr>
        <w:pStyle w:val="13"/>
        <w:spacing w:line="400" w:lineRule="exact"/>
        <w:ind w:firstLine="440"/>
        <w:rPr>
          <w:rFonts w:ascii="宋体" w:hAnsi="宋体"/>
          <w:color w:val="auto"/>
          <w:sz w:val="22"/>
          <w:highlight w:val="none"/>
        </w:rPr>
      </w:pP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 xml:space="preserve">28.仓库动线的规划通常首先要考虑仓库物品的（ </w:t>
      </w:r>
      <w:r>
        <w:rPr>
          <w:rFonts w:ascii="宋体" w:hAnsi="宋体"/>
          <w:color w:val="auto"/>
          <w:sz w:val="22"/>
          <w:highlight w:val="none"/>
        </w:rPr>
        <w:t xml:space="preserve">  </w:t>
      </w:r>
      <w:r>
        <w:rPr>
          <w:rFonts w:hint="eastAsia" w:ascii="宋体" w:hAnsi="宋体"/>
          <w:color w:val="auto"/>
          <w:sz w:val="22"/>
          <w:highlight w:val="none"/>
        </w:rPr>
        <w:t xml:space="preserve"> ）。</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A.出货频率高低</w:t>
      </w:r>
      <w:r>
        <w:rPr>
          <w:rFonts w:hint="eastAsia" w:ascii="宋体" w:hAnsi="宋体"/>
          <w:color w:val="auto"/>
          <w:sz w:val="22"/>
          <w:highlight w:val="none"/>
        </w:rPr>
        <w:tab/>
      </w:r>
      <w:r>
        <w:rPr>
          <w:rFonts w:hint="eastAsia" w:ascii="宋体" w:hAnsi="宋体"/>
          <w:color w:val="auto"/>
          <w:sz w:val="22"/>
          <w:highlight w:val="none"/>
        </w:rPr>
        <w:t xml:space="preserve">   B.作业量大小</w:t>
      </w:r>
      <w:r>
        <w:rPr>
          <w:rFonts w:hint="eastAsia" w:ascii="宋体" w:hAnsi="宋体"/>
          <w:color w:val="auto"/>
          <w:sz w:val="22"/>
          <w:highlight w:val="none"/>
        </w:rPr>
        <w:tab/>
      </w:r>
      <w:r>
        <w:rPr>
          <w:rFonts w:hint="eastAsia" w:ascii="宋体" w:hAnsi="宋体"/>
          <w:color w:val="auto"/>
          <w:sz w:val="22"/>
          <w:highlight w:val="none"/>
        </w:rPr>
        <w:t xml:space="preserve">    C.作业时间分布</w:t>
      </w:r>
      <w:r>
        <w:rPr>
          <w:rFonts w:hint="eastAsia" w:ascii="宋体" w:hAnsi="宋体"/>
          <w:color w:val="auto"/>
          <w:sz w:val="22"/>
          <w:highlight w:val="none"/>
        </w:rPr>
        <w:tab/>
      </w:r>
      <w:r>
        <w:rPr>
          <w:rFonts w:hint="eastAsia" w:ascii="宋体" w:hAnsi="宋体"/>
          <w:color w:val="auto"/>
          <w:sz w:val="22"/>
          <w:highlight w:val="none"/>
        </w:rPr>
        <w:tab/>
      </w:r>
      <w:r>
        <w:rPr>
          <w:rFonts w:hint="eastAsia" w:ascii="宋体" w:hAnsi="宋体"/>
          <w:color w:val="auto"/>
          <w:sz w:val="22"/>
          <w:highlight w:val="none"/>
        </w:rPr>
        <w:t>D.作业设备类别</w:t>
      </w:r>
    </w:p>
    <w:p>
      <w:pPr>
        <w:spacing w:line="360" w:lineRule="auto"/>
        <w:rPr>
          <w:color w:val="auto"/>
          <w:sz w:val="24"/>
          <w:szCs w:val="24"/>
          <w:highlight w:val="none"/>
        </w:rPr>
      </w:pPr>
    </w:p>
    <w:p>
      <w:pPr>
        <w:pStyle w:val="13"/>
        <w:spacing w:line="400" w:lineRule="exact"/>
        <w:ind w:firstLine="440"/>
        <w:rPr>
          <w:rFonts w:ascii="宋体" w:hAnsi="宋体"/>
          <w:color w:val="auto"/>
          <w:sz w:val="22"/>
          <w:highlight w:val="none"/>
        </w:rPr>
      </w:pP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 xml:space="preserve">29. 以下属于U型动线主要特点的是（ </w:t>
      </w:r>
      <w:r>
        <w:rPr>
          <w:rFonts w:ascii="宋体" w:hAnsi="宋体"/>
          <w:color w:val="auto"/>
          <w:sz w:val="22"/>
          <w:highlight w:val="none"/>
        </w:rPr>
        <w:t xml:space="preserve"> </w:t>
      </w:r>
      <w:r>
        <w:rPr>
          <w:rFonts w:hint="eastAsia" w:ascii="宋体" w:hAnsi="宋体"/>
          <w:color w:val="auto"/>
          <w:sz w:val="22"/>
          <w:highlight w:val="none"/>
        </w:rPr>
        <w:t xml:space="preserve"> ）。</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A.适用于无库存的转运中心</w:t>
      </w:r>
      <w:r>
        <w:rPr>
          <w:rFonts w:hint="eastAsia" w:ascii="宋体" w:hAnsi="宋体"/>
          <w:color w:val="auto"/>
          <w:sz w:val="22"/>
          <w:highlight w:val="none"/>
        </w:rPr>
        <w:tab/>
      </w:r>
      <w:r>
        <w:rPr>
          <w:rFonts w:ascii="宋体" w:hAnsi="宋体"/>
          <w:color w:val="auto"/>
          <w:sz w:val="22"/>
          <w:highlight w:val="none"/>
        </w:rPr>
        <w:tab/>
      </w:r>
      <w:r>
        <w:rPr>
          <w:rFonts w:ascii="宋体" w:hAnsi="宋体"/>
          <w:color w:val="auto"/>
          <w:sz w:val="22"/>
          <w:highlight w:val="none"/>
        </w:rPr>
        <w:tab/>
      </w:r>
      <w:r>
        <w:rPr>
          <w:rFonts w:hint="eastAsia" w:ascii="宋体" w:hAnsi="宋体"/>
          <w:color w:val="auto"/>
          <w:sz w:val="22"/>
          <w:highlight w:val="none"/>
        </w:rPr>
        <w:t xml:space="preserve">  </w:t>
      </w:r>
      <w:r>
        <w:rPr>
          <w:rFonts w:hint="eastAsia" w:ascii="宋体" w:hAnsi="宋体"/>
          <w:color w:val="auto"/>
          <w:sz w:val="22"/>
          <w:highlight w:val="none"/>
        </w:rPr>
        <w:t>B.适合越库作业</w:t>
      </w:r>
      <w:r>
        <w:rPr>
          <w:rFonts w:hint="eastAsia" w:ascii="宋体" w:hAnsi="宋体"/>
          <w:color w:val="auto"/>
          <w:sz w:val="22"/>
          <w:highlight w:val="none"/>
        </w:rPr>
        <w:tab/>
      </w:r>
      <w:r>
        <w:rPr>
          <w:rFonts w:hint="eastAsia" w:ascii="宋体" w:hAnsi="宋体"/>
          <w:color w:val="auto"/>
          <w:sz w:val="22"/>
          <w:highlight w:val="none"/>
        </w:rPr>
        <w:tab/>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C.可同时处理高频率和低频率的货品</w:t>
      </w:r>
      <w:r>
        <w:rPr>
          <w:rFonts w:hint="eastAsia" w:ascii="宋体" w:hAnsi="宋体"/>
          <w:color w:val="auto"/>
          <w:sz w:val="22"/>
          <w:highlight w:val="none"/>
        </w:rPr>
        <w:tab/>
      </w:r>
      <w:r>
        <w:rPr>
          <w:rFonts w:hint="eastAsia" w:ascii="宋体" w:hAnsi="宋体"/>
          <w:color w:val="auto"/>
          <w:sz w:val="22"/>
          <w:highlight w:val="none"/>
        </w:rPr>
        <w:t xml:space="preserve">  D.可以应对进出货高峰同时发生的情况</w:t>
      </w:r>
    </w:p>
    <w:p>
      <w:pPr>
        <w:pStyle w:val="13"/>
        <w:spacing w:line="400" w:lineRule="exact"/>
        <w:ind w:firstLine="440"/>
        <w:rPr>
          <w:rFonts w:ascii="宋体" w:hAnsi="宋体"/>
          <w:color w:val="auto"/>
          <w:sz w:val="22"/>
          <w:highlight w:val="none"/>
        </w:rPr>
      </w:pP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 xml:space="preserve">30.假设某企业全年（360天）需用某物品5000件，每次订货成本为500元，单位物品年保管费用为20元，采用定量订货法，则该物品的经济订货周期为（ </w:t>
      </w:r>
      <w:r>
        <w:rPr>
          <w:rFonts w:ascii="宋体" w:hAnsi="宋体"/>
          <w:color w:val="auto"/>
          <w:sz w:val="22"/>
          <w:highlight w:val="none"/>
        </w:rPr>
        <w:t xml:space="preserve"> </w:t>
      </w:r>
      <w:r>
        <w:rPr>
          <w:rFonts w:hint="eastAsia" w:ascii="宋体" w:hAnsi="宋体"/>
          <w:color w:val="auto"/>
          <w:sz w:val="22"/>
          <w:highlight w:val="none"/>
        </w:rPr>
        <w:t xml:space="preserve">  ）。</w:t>
      </w:r>
    </w:p>
    <w:p>
      <w:pPr>
        <w:pStyle w:val="13"/>
        <w:spacing w:line="400" w:lineRule="exact"/>
        <w:ind w:firstLine="440"/>
        <w:rPr>
          <w:color w:val="auto"/>
          <w:highlight w:val="none"/>
        </w:rPr>
      </w:pPr>
      <w:r>
        <w:rPr>
          <w:rFonts w:hint="eastAsia" w:ascii="宋体" w:hAnsi="宋体"/>
          <w:color w:val="auto"/>
          <w:sz w:val="22"/>
          <w:highlight w:val="none"/>
        </w:rPr>
        <w:t>A.34天</w:t>
      </w:r>
      <w:r>
        <w:rPr>
          <w:rFonts w:hint="eastAsia" w:ascii="宋体" w:hAnsi="宋体"/>
          <w:color w:val="auto"/>
          <w:sz w:val="22"/>
          <w:highlight w:val="none"/>
        </w:rPr>
        <w:tab/>
      </w:r>
      <w:r>
        <w:rPr>
          <w:rFonts w:hint="eastAsia" w:ascii="宋体" w:hAnsi="宋体"/>
          <w:color w:val="auto"/>
          <w:sz w:val="22"/>
          <w:highlight w:val="none"/>
        </w:rPr>
        <w:tab/>
      </w:r>
      <w:r>
        <w:rPr>
          <w:rFonts w:hint="eastAsia" w:ascii="宋体" w:hAnsi="宋体"/>
          <w:color w:val="auto"/>
          <w:sz w:val="22"/>
          <w:highlight w:val="none"/>
        </w:rPr>
        <w:t xml:space="preserve">      B.35天</w:t>
      </w:r>
      <w:r>
        <w:rPr>
          <w:rFonts w:hint="eastAsia" w:ascii="宋体" w:hAnsi="宋体"/>
          <w:color w:val="auto"/>
          <w:sz w:val="22"/>
          <w:highlight w:val="none"/>
        </w:rPr>
        <w:tab/>
      </w:r>
      <w:r>
        <w:rPr>
          <w:rFonts w:hint="eastAsia" w:ascii="宋体" w:hAnsi="宋体"/>
          <w:color w:val="auto"/>
          <w:sz w:val="22"/>
          <w:highlight w:val="none"/>
        </w:rPr>
        <w:tab/>
      </w:r>
      <w:r>
        <w:rPr>
          <w:rFonts w:hint="eastAsia" w:ascii="宋体" w:hAnsi="宋体"/>
          <w:color w:val="auto"/>
          <w:sz w:val="22"/>
          <w:highlight w:val="none"/>
        </w:rPr>
        <w:t xml:space="preserve">    </w:t>
      </w:r>
      <w:r>
        <w:rPr>
          <w:rFonts w:hint="eastAsia" w:ascii="宋体" w:hAnsi="宋体"/>
          <w:color w:val="auto"/>
          <w:sz w:val="22"/>
          <w:highlight w:val="none"/>
        </w:rPr>
        <w:t xml:space="preserve"> C.36天</w:t>
      </w:r>
      <w:r>
        <w:rPr>
          <w:rFonts w:hint="eastAsia" w:ascii="宋体" w:hAnsi="宋体"/>
          <w:color w:val="auto"/>
          <w:sz w:val="22"/>
          <w:highlight w:val="none"/>
        </w:rPr>
        <w:tab/>
      </w:r>
      <w:r>
        <w:rPr>
          <w:rFonts w:hint="eastAsia" w:ascii="宋体" w:hAnsi="宋体"/>
          <w:color w:val="auto"/>
          <w:sz w:val="22"/>
          <w:highlight w:val="none"/>
        </w:rPr>
        <w:tab/>
      </w:r>
      <w:r>
        <w:rPr>
          <w:rFonts w:hint="eastAsia" w:ascii="宋体" w:hAnsi="宋体"/>
          <w:color w:val="auto"/>
          <w:sz w:val="22"/>
          <w:highlight w:val="none"/>
        </w:rPr>
        <w:t xml:space="preserve">    D.36.5天</w:t>
      </w:r>
    </w:p>
    <w:p>
      <w:pPr>
        <w:spacing w:line="400" w:lineRule="exact"/>
        <w:rPr>
          <w:rFonts w:ascii="宋体" w:hAnsi="宋体"/>
          <w:b/>
          <w:color w:val="auto"/>
          <w:sz w:val="22"/>
          <w:highlight w:val="none"/>
        </w:rPr>
      </w:pP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3</w:t>
      </w:r>
      <w:r>
        <w:rPr>
          <w:rFonts w:ascii="宋体" w:hAnsi="宋体"/>
          <w:color w:val="auto"/>
          <w:sz w:val="22"/>
          <w:highlight w:val="none"/>
        </w:rPr>
        <w:t>1.</w:t>
      </w:r>
      <w:r>
        <w:rPr>
          <w:rFonts w:hint="eastAsia" w:ascii="宋体" w:hAnsi="宋体"/>
          <w:color w:val="auto"/>
          <w:sz w:val="22"/>
          <w:highlight w:val="none"/>
        </w:rPr>
        <w:t>如图所示，使用节约里程法计算，</w:t>
      </w:r>
      <w:r>
        <w:rPr>
          <w:rFonts w:ascii="宋体" w:hAnsi="宋体"/>
          <w:color w:val="auto"/>
          <w:sz w:val="22"/>
          <w:highlight w:val="none"/>
        </w:rPr>
        <w:t>O</w:t>
      </w:r>
      <w:r>
        <w:rPr>
          <w:rFonts w:hint="eastAsia" w:ascii="宋体" w:hAnsi="宋体"/>
          <w:color w:val="auto"/>
          <w:sz w:val="22"/>
          <w:highlight w:val="none"/>
        </w:rPr>
        <w:t>点至A、B两点的节约里程数为（    ）。</w:t>
      </w:r>
    </w:p>
    <w:p>
      <w:pPr>
        <w:pStyle w:val="13"/>
        <w:spacing w:line="400" w:lineRule="exact"/>
        <w:rPr>
          <w:rFonts w:ascii="宋体" w:hAnsi="宋体"/>
          <w:color w:val="auto"/>
          <w:sz w:val="22"/>
          <w:highlight w:val="none"/>
        </w:rPr>
      </w:pPr>
      <w:r>
        <w:rPr>
          <w:color w:val="auto"/>
          <w:highlight w:val="none"/>
        </w:rPr>
        <w:drawing>
          <wp:anchor distT="0" distB="0" distL="114300" distR="114300" simplePos="0" relativeHeight="251659264" behindDoc="0" locked="0" layoutInCell="1" allowOverlap="1">
            <wp:simplePos x="0" y="0"/>
            <wp:positionH relativeFrom="column">
              <wp:posOffset>321945</wp:posOffset>
            </wp:positionH>
            <wp:positionV relativeFrom="paragraph">
              <wp:posOffset>169545</wp:posOffset>
            </wp:positionV>
            <wp:extent cx="2011680" cy="1458595"/>
            <wp:effectExtent l="0" t="0" r="0" b="0"/>
            <wp:wrapTopAndBottom/>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a:xfrm>
                      <a:off x="0" y="0"/>
                      <a:ext cx="2011680" cy="1458595"/>
                    </a:xfrm>
                    <a:prstGeom prst="rect">
                      <a:avLst/>
                    </a:prstGeom>
                    <a:noFill/>
                  </pic:spPr>
                </pic:pic>
              </a:graphicData>
            </a:graphic>
          </wp:anchor>
        </w:drawing>
      </w:r>
      <w:r>
        <w:rPr>
          <w:rFonts w:hint="eastAsia" w:ascii="宋体" w:hAnsi="宋体"/>
          <w:color w:val="auto"/>
          <w:sz w:val="22"/>
          <w:highlight w:val="none"/>
        </w:rPr>
        <w:t xml:space="preserve">A.3      B.4     </w:t>
      </w:r>
      <w:r>
        <w:rPr>
          <w:rFonts w:hint="eastAsia" w:ascii="宋体" w:hAnsi="宋体"/>
          <w:color w:val="auto"/>
          <w:sz w:val="22"/>
          <w:highlight w:val="none"/>
        </w:rPr>
        <w:t xml:space="preserve"> C.5 </w:t>
      </w:r>
      <w:r>
        <w:rPr>
          <w:rFonts w:hint="eastAsia" w:ascii="宋体" w:hAnsi="宋体"/>
          <w:color w:val="auto"/>
          <w:sz w:val="22"/>
          <w:highlight w:val="none"/>
        </w:rPr>
        <w:t xml:space="preserve">    D.</w:t>
      </w:r>
      <w:r>
        <w:rPr>
          <w:rFonts w:ascii="宋体" w:hAnsi="宋体"/>
          <w:color w:val="auto"/>
          <w:sz w:val="22"/>
          <w:highlight w:val="none"/>
        </w:rPr>
        <w:t>6</w:t>
      </w:r>
    </w:p>
    <w:p>
      <w:pPr>
        <w:pStyle w:val="13"/>
        <w:spacing w:line="400" w:lineRule="exact"/>
        <w:ind w:firstLine="440"/>
        <w:rPr>
          <w:rFonts w:ascii="宋体" w:hAnsi="宋体"/>
          <w:color w:val="auto"/>
          <w:sz w:val="22"/>
          <w:highlight w:val="none"/>
        </w:rPr>
      </w:pP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3</w:t>
      </w:r>
      <w:r>
        <w:rPr>
          <w:rFonts w:ascii="宋体" w:hAnsi="宋体"/>
          <w:color w:val="auto"/>
          <w:sz w:val="22"/>
          <w:highlight w:val="none"/>
        </w:rPr>
        <w:t>2.</w:t>
      </w:r>
      <w:r>
        <w:rPr>
          <w:rFonts w:hint="eastAsia" w:ascii="宋体" w:hAnsi="宋体"/>
          <w:color w:val="auto"/>
          <w:sz w:val="22"/>
          <w:highlight w:val="none"/>
        </w:rPr>
        <w:t>下列车辆配载描述中，错误的是（    ）。</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A.洗衣粉与茶叶混装</w:t>
      </w:r>
      <w:r>
        <w:rPr>
          <w:rFonts w:hint="eastAsia" w:ascii="宋体" w:hAnsi="宋体"/>
          <w:color w:val="auto"/>
          <w:sz w:val="22"/>
          <w:highlight w:val="none"/>
        </w:rPr>
        <w:t xml:space="preserve">       B.大件货物放在较低的层级</w:t>
      </w:r>
    </w:p>
    <w:p>
      <w:pPr>
        <w:pStyle w:val="13"/>
        <w:spacing w:line="400" w:lineRule="exact"/>
        <w:ind w:firstLine="440"/>
        <w:rPr>
          <w:color w:val="auto"/>
          <w:sz w:val="24"/>
          <w:szCs w:val="24"/>
          <w:highlight w:val="none"/>
        </w:rPr>
      </w:pPr>
      <w:r>
        <w:rPr>
          <w:rFonts w:hint="eastAsia" w:ascii="宋体" w:hAnsi="宋体"/>
          <w:color w:val="auto"/>
          <w:sz w:val="22"/>
          <w:highlight w:val="none"/>
        </w:rPr>
        <w:t xml:space="preserve">C.危险物品单独配装 </w:t>
      </w:r>
      <w:r>
        <w:rPr>
          <w:rFonts w:ascii="宋体" w:hAnsi="宋体"/>
          <w:color w:val="auto"/>
          <w:sz w:val="22"/>
          <w:highlight w:val="none"/>
        </w:rPr>
        <w:t xml:space="preserve"> </w:t>
      </w:r>
      <w:r>
        <w:rPr>
          <w:rFonts w:hint="eastAsia" w:ascii="宋体" w:hAnsi="宋体"/>
          <w:color w:val="auto"/>
          <w:sz w:val="22"/>
          <w:highlight w:val="none"/>
        </w:rPr>
        <w:t xml:space="preserve">     D.重的货物放在较低的层次</w:t>
      </w:r>
    </w:p>
    <w:p>
      <w:pPr>
        <w:pStyle w:val="13"/>
        <w:spacing w:line="400" w:lineRule="exact"/>
        <w:ind w:firstLine="440"/>
        <w:rPr>
          <w:rFonts w:ascii="宋体" w:hAnsi="宋体"/>
          <w:color w:val="auto"/>
          <w:sz w:val="22"/>
          <w:highlight w:val="none"/>
        </w:rPr>
      </w:pP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3</w:t>
      </w:r>
      <w:r>
        <w:rPr>
          <w:rFonts w:ascii="宋体" w:hAnsi="宋体"/>
          <w:color w:val="auto"/>
          <w:sz w:val="22"/>
          <w:highlight w:val="none"/>
        </w:rPr>
        <w:t>3.</w:t>
      </w:r>
      <w:r>
        <w:rPr>
          <w:rFonts w:hint="eastAsia" w:ascii="宋体" w:hAnsi="宋体"/>
          <w:color w:val="auto"/>
          <w:sz w:val="22"/>
          <w:highlight w:val="none"/>
        </w:rPr>
        <w:t xml:space="preserve">直接影响配送成本的是（  </w:t>
      </w:r>
      <w:r>
        <w:rPr>
          <w:rFonts w:ascii="宋体" w:hAnsi="宋体"/>
          <w:color w:val="auto"/>
          <w:sz w:val="22"/>
          <w:highlight w:val="none"/>
        </w:rPr>
        <w:t xml:space="preserve"> </w:t>
      </w:r>
      <w:r>
        <w:rPr>
          <w:rFonts w:hint="eastAsia" w:ascii="宋体" w:hAnsi="宋体"/>
          <w:color w:val="auto"/>
          <w:sz w:val="22"/>
          <w:highlight w:val="none"/>
        </w:rPr>
        <w:t xml:space="preserve">  ）。</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A.客户订单</w:t>
      </w:r>
      <w:r>
        <w:rPr>
          <w:rFonts w:hint="eastAsia" w:ascii="宋体" w:hAnsi="宋体"/>
          <w:color w:val="auto"/>
          <w:sz w:val="22"/>
          <w:highlight w:val="none"/>
        </w:rPr>
        <w:t xml:space="preserve">      </w:t>
      </w:r>
      <w:r>
        <w:rPr>
          <w:rFonts w:hint="eastAsia" w:ascii="宋体" w:hAnsi="宋体"/>
          <w:color w:val="auto"/>
          <w:sz w:val="22"/>
          <w:highlight w:val="none"/>
        </w:rPr>
        <w:t xml:space="preserve"> </w:t>
      </w:r>
      <w:r>
        <w:rPr>
          <w:rFonts w:hint="eastAsia" w:ascii="宋体" w:hAnsi="宋体"/>
          <w:color w:val="auto"/>
          <w:sz w:val="22"/>
          <w:highlight w:val="none"/>
        </w:rPr>
        <w:t>B.客户地理分布</w:t>
      </w:r>
      <w:r>
        <w:rPr>
          <w:rFonts w:hint="eastAsia" w:ascii="宋体" w:hAnsi="宋体"/>
          <w:color w:val="auto"/>
          <w:sz w:val="22"/>
          <w:highlight w:val="none"/>
        </w:rPr>
        <w:t xml:space="preserve">       C.配送货物     D.配送作业环境</w:t>
      </w:r>
    </w:p>
    <w:p>
      <w:pPr>
        <w:spacing w:line="360" w:lineRule="auto"/>
        <w:rPr>
          <w:color w:val="auto"/>
          <w:sz w:val="24"/>
          <w:szCs w:val="24"/>
          <w:highlight w:val="none"/>
        </w:rPr>
      </w:pPr>
      <w:r>
        <w:rPr>
          <w:rFonts w:hint="eastAsia"/>
          <w:color w:val="auto"/>
          <w:sz w:val="24"/>
          <w:szCs w:val="24"/>
          <w:highlight w:val="none"/>
        </w:rPr>
        <w:t>知识点：配送绩效考核指标</w:t>
      </w:r>
    </w:p>
    <w:p>
      <w:pPr>
        <w:spacing w:line="360" w:lineRule="auto"/>
        <w:rPr>
          <w:color w:val="auto"/>
          <w:sz w:val="24"/>
          <w:szCs w:val="24"/>
          <w:highlight w:val="none"/>
        </w:rPr>
      </w:pP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34下列标志项目阶段或项目完成的是（</w:t>
      </w:r>
      <w:r>
        <w:rPr>
          <w:rFonts w:hint="eastAsia" w:ascii="宋体" w:hAnsi="宋体"/>
          <w:color w:val="auto"/>
          <w:sz w:val="22"/>
          <w:highlight w:val="none"/>
          <w:lang w:val="en-US" w:eastAsia="zh-CN"/>
        </w:rPr>
        <w:t xml:space="preserve">   </w:t>
      </w:r>
      <w:r>
        <w:rPr>
          <w:rFonts w:hint="eastAsia" w:ascii="宋体" w:hAnsi="宋体"/>
          <w:color w:val="auto"/>
          <w:sz w:val="22"/>
          <w:highlight w:val="none"/>
        </w:rPr>
        <w:t>）。</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A.项目合理性说明</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B.项目目标确定</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C.项目可交付成果清单交付</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D.项目预期成效展示</w:t>
      </w:r>
    </w:p>
    <w:p>
      <w:pPr>
        <w:pStyle w:val="13"/>
        <w:spacing w:line="400" w:lineRule="exact"/>
        <w:ind w:firstLine="440"/>
        <w:rPr>
          <w:rFonts w:hint="eastAsia" w:ascii="宋体" w:hAnsi="宋体"/>
          <w:color w:val="auto"/>
          <w:sz w:val="22"/>
          <w:highlight w:val="none"/>
        </w:rPr>
      </w:pP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35</w:t>
      </w:r>
      <w:bookmarkStart w:id="4" w:name="_Hlk89443186"/>
      <w:bookmarkStart w:id="5" w:name="_Hlk89446167"/>
      <w:r>
        <w:rPr>
          <w:rFonts w:hint="eastAsia" w:ascii="宋体" w:hAnsi="宋体"/>
          <w:color w:val="auto"/>
          <w:sz w:val="22"/>
          <w:highlight w:val="none"/>
          <w:lang w:eastAsia="zh-CN"/>
        </w:rPr>
        <w:t>.</w:t>
      </w:r>
      <w:r>
        <w:rPr>
          <w:rFonts w:hint="eastAsia" w:ascii="宋体" w:hAnsi="宋体"/>
          <w:color w:val="auto"/>
          <w:sz w:val="22"/>
          <w:highlight w:val="none"/>
        </w:rPr>
        <w:t>MBTI人格共有4个维度，每个维度有2个方向，分别是E、I、S、N、T、F、J、P，其中“E”代表（</w:t>
      </w:r>
      <w:r>
        <w:rPr>
          <w:rFonts w:hint="eastAsia" w:ascii="宋体" w:hAnsi="宋体"/>
          <w:color w:val="auto"/>
          <w:sz w:val="22"/>
          <w:highlight w:val="none"/>
          <w:lang w:val="en-US" w:eastAsia="zh-CN"/>
        </w:rPr>
        <w:t xml:space="preserve">   </w:t>
      </w:r>
      <w:r>
        <w:rPr>
          <w:rFonts w:hint="eastAsia" w:ascii="宋体" w:hAnsi="宋体"/>
          <w:color w:val="auto"/>
          <w:sz w:val="22"/>
          <w:highlight w:val="none"/>
        </w:rPr>
        <w:t>）。</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A.内向</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B.外向</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C.感觉</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D.直觉</w:t>
      </w:r>
    </w:p>
    <w:bookmarkEnd w:id="4"/>
    <w:p>
      <w:pPr>
        <w:pStyle w:val="13"/>
        <w:spacing w:line="400" w:lineRule="exact"/>
        <w:ind w:firstLine="440"/>
        <w:rPr>
          <w:rFonts w:hint="eastAsia" w:ascii="宋体" w:hAnsi="宋体"/>
          <w:color w:val="auto"/>
          <w:sz w:val="22"/>
          <w:highlight w:val="none"/>
        </w:rPr>
      </w:pP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36</w:t>
      </w:r>
      <w:bookmarkStart w:id="6" w:name="_Hlk89446937"/>
      <w:r>
        <w:rPr>
          <w:rFonts w:hint="eastAsia" w:ascii="宋体" w:hAnsi="宋体"/>
          <w:color w:val="auto"/>
          <w:sz w:val="22"/>
          <w:highlight w:val="none"/>
          <w:lang w:eastAsia="zh-CN"/>
        </w:rPr>
        <w:t>.</w:t>
      </w:r>
      <w:r>
        <w:rPr>
          <w:rFonts w:hint="eastAsia" w:ascii="宋体" w:hAnsi="宋体"/>
          <w:color w:val="auto"/>
          <w:sz w:val="22"/>
          <w:highlight w:val="none"/>
        </w:rPr>
        <w:t>在流程中增加了步骤或控制点，能够有效控制风险或者提高产品质量，这体现了业务流程优化的何种思想？（</w:t>
      </w:r>
      <w:r>
        <w:rPr>
          <w:rFonts w:hint="eastAsia" w:ascii="宋体" w:hAnsi="宋体"/>
          <w:color w:val="auto"/>
          <w:sz w:val="22"/>
          <w:highlight w:val="none"/>
          <w:lang w:val="en-US" w:eastAsia="zh-CN"/>
        </w:rPr>
        <w:t xml:space="preserve">   </w:t>
      </w:r>
      <w:r>
        <w:rPr>
          <w:rFonts w:hint="eastAsia" w:ascii="宋体" w:hAnsi="宋体"/>
          <w:color w:val="auto"/>
          <w:sz w:val="22"/>
          <w:highlight w:val="none"/>
        </w:rPr>
        <w:t>）。</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A.合并</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B.自动化</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C.建立</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D.重组</w:t>
      </w:r>
    </w:p>
    <w:p>
      <w:pPr>
        <w:pStyle w:val="13"/>
        <w:spacing w:line="400" w:lineRule="exact"/>
        <w:ind w:firstLine="440"/>
        <w:rPr>
          <w:rFonts w:hint="eastAsia" w:ascii="宋体" w:hAnsi="宋体"/>
          <w:color w:val="auto"/>
          <w:sz w:val="22"/>
          <w:highlight w:val="none"/>
        </w:rPr>
      </w:pP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37</w:t>
      </w:r>
      <w:bookmarkEnd w:id="5"/>
      <w:bookmarkEnd w:id="6"/>
      <w:bookmarkStart w:id="7" w:name="_Hlk89446188"/>
      <w:r>
        <w:rPr>
          <w:rFonts w:hint="eastAsia" w:ascii="宋体" w:hAnsi="宋体"/>
          <w:color w:val="auto"/>
          <w:sz w:val="22"/>
          <w:highlight w:val="none"/>
          <w:lang w:eastAsia="zh-CN"/>
        </w:rPr>
        <w:t>.</w:t>
      </w:r>
      <w:r>
        <w:rPr>
          <w:rFonts w:hint="eastAsia" w:ascii="宋体" w:hAnsi="宋体"/>
          <w:color w:val="auto"/>
          <w:sz w:val="22"/>
          <w:highlight w:val="none"/>
        </w:rPr>
        <w:t>可以预知有些项目可交付成果需要返工，却不知道返工的工作量是多少，为应对这些未知数量的返工工作，可以预留（</w:t>
      </w:r>
      <w:r>
        <w:rPr>
          <w:rFonts w:hint="eastAsia" w:ascii="宋体" w:hAnsi="宋体"/>
          <w:color w:val="auto"/>
          <w:sz w:val="22"/>
          <w:highlight w:val="none"/>
          <w:lang w:val="en-US" w:eastAsia="zh-CN"/>
        </w:rPr>
        <w:t xml:space="preserve">   </w:t>
      </w:r>
      <w:r>
        <w:rPr>
          <w:rFonts w:hint="eastAsia" w:ascii="宋体" w:hAnsi="宋体"/>
          <w:color w:val="auto"/>
          <w:sz w:val="22"/>
          <w:highlight w:val="none"/>
        </w:rPr>
        <w:t>）。</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A.应急储备</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B.控制储备</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C.管理储备</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D.组织储备</w:t>
      </w:r>
    </w:p>
    <w:p>
      <w:pPr>
        <w:pStyle w:val="13"/>
        <w:spacing w:line="400" w:lineRule="exact"/>
        <w:ind w:firstLine="440"/>
        <w:rPr>
          <w:rFonts w:hint="eastAsia" w:ascii="宋体" w:hAnsi="宋体"/>
          <w:color w:val="auto"/>
          <w:sz w:val="22"/>
          <w:highlight w:val="none"/>
        </w:rPr>
      </w:pPr>
      <w:bookmarkStart w:id="8" w:name="_Hlk89446983"/>
    </w:p>
    <w:p>
      <w:pPr>
        <w:pStyle w:val="13"/>
        <w:spacing w:line="400" w:lineRule="exact"/>
        <w:ind w:firstLine="440"/>
        <w:rPr>
          <w:rFonts w:hint="eastAsia" w:ascii="宋体" w:hAnsi="宋体"/>
          <w:color w:val="auto"/>
          <w:sz w:val="22"/>
          <w:highlight w:val="none"/>
        </w:rPr>
      </w:pPr>
      <w:bookmarkStart w:id="9" w:name="_Hlk89444938"/>
      <w:r>
        <w:rPr>
          <w:rFonts w:hint="eastAsia" w:ascii="宋体" w:hAnsi="宋体"/>
          <w:color w:val="auto"/>
          <w:sz w:val="22"/>
          <w:highlight w:val="none"/>
        </w:rPr>
        <w:t>38</w:t>
      </w:r>
      <w:bookmarkStart w:id="10" w:name="_Hlk89446975"/>
      <w:r>
        <w:rPr>
          <w:rFonts w:hint="eastAsia" w:ascii="宋体" w:hAnsi="宋体"/>
          <w:color w:val="auto"/>
          <w:sz w:val="22"/>
          <w:highlight w:val="none"/>
          <w:lang w:eastAsia="zh-CN"/>
        </w:rPr>
        <w:t>.</w:t>
      </w:r>
      <w:r>
        <w:rPr>
          <w:rFonts w:hint="eastAsia" w:ascii="宋体" w:hAnsi="宋体"/>
          <w:color w:val="auto"/>
          <w:sz w:val="22"/>
          <w:highlight w:val="none"/>
        </w:rPr>
        <w:t>下列属于流程分析与优化步骤中设计优化流程阶段的是（</w:t>
      </w:r>
      <w:r>
        <w:rPr>
          <w:rFonts w:hint="eastAsia" w:ascii="宋体" w:hAnsi="宋体"/>
          <w:color w:val="auto"/>
          <w:sz w:val="22"/>
          <w:highlight w:val="none"/>
          <w:lang w:val="en-US" w:eastAsia="zh-CN"/>
        </w:rPr>
        <w:t xml:space="preserve">  </w:t>
      </w:r>
      <w:r>
        <w:rPr>
          <w:rFonts w:hint="eastAsia" w:ascii="宋体" w:hAnsi="宋体"/>
          <w:color w:val="auto"/>
          <w:sz w:val="22"/>
          <w:highlight w:val="none"/>
        </w:rPr>
        <w:t>）。</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A.KPI指标的确定</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B.制定访谈提纲</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C.开展SWOT分析</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D.总结并推广成果</w:t>
      </w:r>
      <w:bookmarkEnd w:id="9"/>
    </w:p>
    <w:bookmarkEnd w:id="7"/>
    <w:bookmarkEnd w:id="8"/>
    <w:bookmarkEnd w:id="10"/>
    <w:p>
      <w:pPr>
        <w:pStyle w:val="13"/>
        <w:spacing w:line="400" w:lineRule="exact"/>
        <w:ind w:left="0" w:leftChars="0" w:firstLine="0" w:firstLineChars="0"/>
        <w:rPr>
          <w:rFonts w:ascii="宋体" w:hAnsi="宋体"/>
          <w:color w:val="auto"/>
          <w:sz w:val="22"/>
          <w:highlight w:val="none"/>
        </w:rPr>
      </w:pP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39.</w:t>
      </w:r>
      <w:r>
        <w:rPr>
          <w:rFonts w:ascii="宋体" w:hAnsi="宋体"/>
          <w:color w:val="auto"/>
          <w:sz w:val="22"/>
          <w:highlight w:val="none"/>
        </w:rPr>
        <w:t>（    ）</w:t>
      </w:r>
      <w:r>
        <w:rPr>
          <w:rFonts w:hint="eastAsia" w:ascii="宋体" w:hAnsi="宋体"/>
          <w:color w:val="auto"/>
          <w:sz w:val="22"/>
          <w:highlight w:val="none"/>
        </w:rPr>
        <w:t>可以同时确定路线和经过各站点的顺序，能处理有众多约束条件的实际问题。</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A.节约里程法</w:t>
      </w:r>
      <w:r>
        <w:rPr>
          <w:rFonts w:hint="eastAsia" w:ascii="宋体" w:hAnsi="宋体"/>
          <w:color w:val="auto"/>
          <w:sz w:val="22"/>
          <w:highlight w:val="none"/>
        </w:rPr>
        <w:tab/>
      </w:r>
      <w:r>
        <w:rPr>
          <w:rFonts w:hint="eastAsia" w:ascii="宋体" w:hAnsi="宋体"/>
          <w:color w:val="auto"/>
          <w:sz w:val="22"/>
          <w:highlight w:val="none"/>
        </w:rPr>
        <w:tab/>
      </w:r>
      <w:r>
        <w:rPr>
          <w:rFonts w:hint="eastAsia" w:ascii="宋体" w:hAnsi="宋体"/>
          <w:color w:val="auto"/>
          <w:sz w:val="22"/>
          <w:highlight w:val="none"/>
        </w:rPr>
        <w:t>B.图上作业法</w:t>
      </w:r>
      <w:r>
        <w:rPr>
          <w:rFonts w:hint="eastAsia" w:ascii="宋体" w:hAnsi="宋体"/>
          <w:color w:val="auto"/>
          <w:sz w:val="22"/>
          <w:highlight w:val="none"/>
        </w:rPr>
        <w:tab/>
      </w:r>
      <w:r>
        <w:rPr>
          <w:rFonts w:hint="eastAsia" w:ascii="宋体" w:hAnsi="宋体"/>
          <w:color w:val="auto"/>
          <w:sz w:val="22"/>
          <w:highlight w:val="none"/>
        </w:rPr>
        <w:tab/>
      </w:r>
      <w:r>
        <w:rPr>
          <w:rFonts w:hint="eastAsia" w:ascii="宋体" w:hAnsi="宋体"/>
          <w:color w:val="auto"/>
          <w:sz w:val="22"/>
          <w:highlight w:val="none"/>
        </w:rPr>
        <w:t>C.表上作业法</w:t>
      </w:r>
      <w:r>
        <w:rPr>
          <w:rFonts w:hint="eastAsia" w:ascii="宋体" w:hAnsi="宋体"/>
          <w:color w:val="auto"/>
          <w:sz w:val="22"/>
          <w:highlight w:val="none"/>
        </w:rPr>
        <w:tab/>
      </w:r>
      <w:r>
        <w:rPr>
          <w:rFonts w:hint="eastAsia" w:ascii="宋体" w:hAnsi="宋体"/>
          <w:color w:val="auto"/>
          <w:sz w:val="22"/>
          <w:highlight w:val="none"/>
        </w:rPr>
        <w:tab/>
      </w:r>
      <w:r>
        <w:rPr>
          <w:rFonts w:hint="eastAsia" w:ascii="宋体" w:hAnsi="宋体"/>
          <w:color w:val="auto"/>
          <w:sz w:val="22"/>
          <w:highlight w:val="none"/>
        </w:rPr>
        <w:t>D.扫描法</w:t>
      </w:r>
    </w:p>
    <w:p>
      <w:pPr>
        <w:spacing w:line="360" w:lineRule="auto"/>
        <w:rPr>
          <w:color w:val="auto"/>
          <w:sz w:val="24"/>
          <w:szCs w:val="24"/>
          <w:highlight w:val="none"/>
        </w:rPr>
      </w:pP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40</w:t>
      </w:r>
      <w:bookmarkStart w:id="11" w:name="_Hlk89443198"/>
      <w:r>
        <w:rPr>
          <w:rFonts w:hint="eastAsia" w:ascii="宋体" w:hAnsi="宋体"/>
          <w:color w:val="auto"/>
          <w:sz w:val="22"/>
          <w:highlight w:val="none"/>
          <w:lang w:eastAsia="zh-CN"/>
        </w:rPr>
        <w:t>.</w:t>
      </w:r>
      <w:r>
        <w:rPr>
          <w:rFonts w:hint="eastAsia" w:ascii="宋体" w:hAnsi="宋体"/>
          <w:color w:val="auto"/>
          <w:sz w:val="22"/>
          <w:highlight w:val="none"/>
        </w:rPr>
        <w:t>众物智联物流与供应链集团某配送中心在车辆调度时主要做法为：车辆系统与WMS系统或配送管理系统集成，在完成配送作业计划后，根据配送线路优化和配载优化结果，估算车辆需求数量、时间、车型等，再根据运输服务供应商数据库优先供应商，生成车辆调度推荐任务单，经作业人员确认后系统自动下达给运输服务商，完成车辆调度。这种调度方式为（</w:t>
      </w:r>
      <w:r>
        <w:rPr>
          <w:rFonts w:hint="eastAsia" w:ascii="宋体" w:hAnsi="宋体"/>
          <w:color w:val="auto"/>
          <w:sz w:val="22"/>
          <w:highlight w:val="none"/>
          <w:lang w:val="en-US" w:eastAsia="zh-CN"/>
        </w:rPr>
        <w:t xml:space="preserve">   </w:t>
      </w:r>
      <w:r>
        <w:rPr>
          <w:rFonts w:hint="eastAsia" w:ascii="宋体" w:hAnsi="宋体"/>
          <w:color w:val="auto"/>
          <w:sz w:val="22"/>
          <w:highlight w:val="none"/>
        </w:rPr>
        <w:t>）。</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A.人工车辆调度</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B.智能化车辆调度</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C.随机指派</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D.客户指定方式</w:t>
      </w:r>
    </w:p>
    <w:bookmarkEnd w:id="11"/>
    <w:p>
      <w:pPr>
        <w:spacing w:line="360" w:lineRule="auto"/>
        <w:rPr>
          <w:color w:val="auto"/>
          <w:sz w:val="24"/>
          <w:szCs w:val="24"/>
          <w:highlight w:val="none"/>
        </w:rPr>
      </w:pPr>
    </w:p>
    <w:p>
      <w:pPr>
        <w:pStyle w:val="13"/>
        <w:spacing w:line="400" w:lineRule="exact"/>
        <w:ind w:firstLine="440"/>
        <w:rPr>
          <w:rFonts w:ascii="宋体" w:hAnsi="宋体"/>
          <w:color w:val="auto"/>
          <w:sz w:val="22"/>
          <w:highlight w:val="none"/>
        </w:rPr>
      </w:pPr>
    </w:p>
    <w:p>
      <w:pPr>
        <w:spacing w:line="400" w:lineRule="exact"/>
        <w:rPr>
          <w:rFonts w:ascii="宋体" w:hAnsi="宋体"/>
          <w:b/>
          <w:color w:val="auto"/>
          <w:sz w:val="22"/>
          <w:highlight w:val="none"/>
        </w:rPr>
      </w:pPr>
      <w:r>
        <w:rPr>
          <w:rFonts w:hint="eastAsia" w:ascii="宋体" w:hAnsi="宋体"/>
          <w:b/>
          <w:color w:val="auto"/>
          <w:sz w:val="22"/>
          <w:highlight w:val="none"/>
        </w:rPr>
        <w:t>二、多项选择题（本大题共20小题，每小题1分，共20分）</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 xml:space="preserve">41.2020年国家邮政局下发通知，要求切实加强和改进安全生产工作，通知强调要深刻吸取教训，进一步牢固树立安全发展理念。各级邮政管理部门、各企业要强化安全生产第一意识，从思想认识、组织领导、责任措施等方面真正把安全生产摆在首要位置。这就要求物流企业事故的预防和控制工作应从这些方面开展（ </w:t>
      </w:r>
      <w:r>
        <w:rPr>
          <w:rFonts w:ascii="宋体" w:hAnsi="宋体"/>
          <w:color w:val="auto"/>
          <w:sz w:val="22"/>
          <w:highlight w:val="none"/>
        </w:rPr>
        <w:t xml:space="preserve">   </w:t>
      </w:r>
      <w:r>
        <w:rPr>
          <w:rFonts w:hint="eastAsia" w:ascii="宋体" w:hAnsi="宋体"/>
          <w:color w:val="auto"/>
          <w:sz w:val="22"/>
          <w:highlight w:val="none"/>
        </w:rPr>
        <w:t>）。</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A. 意识培养</w:t>
      </w:r>
      <w:r>
        <w:rPr>
          <w:rFonts w:hint="eastAsia" w:ascii="宋体" w:hAnsi="宋体"/>
          <w:color w:val="auto"/>
          <w:sz w:val="22"/>
          <w:highlight w:val="none"/>
        </w:rPr>
        <w:tab/>
      </w:r>
      <w:r>
        <w:rPr>
          <w:rFonts w:hint="eastAsia" w:ascii="宋体" w:hAnsi="宋体"/>
          <w:color w:val="auto"/>
          <w:sz w:val="22"/>
          <w:highlight w:val="none"/>
        </w:rPr>
        <w:tab/>
      </w:r>
      <w:r>
        <w:rPr>
          <w:rFonts w:hint="eastAsia" w:ascii="宋体" w:hAnsi="宋体"/>
          <w:color w:val="auto"/>
          <w:sz w:val="22"/>
          <w:highlight w:val="none"/>
        </w:rPr>
        <w:t>B. 安全风险管控</w:t>
      </w:r>
      <w:r>
        <w:rPr>
          <w:rFonts w:hint="eastAsia" w:ascii="宋体" w:hAnsi="宋体"/>
          <w:color w:val="auto"/>
          <w:sz w:val="22"/>
          <w:highlight w:val="none"/>
        </w:rPr>
        <w:tab/>
      </w:r>
      <w:r>
        <w:rPr>
          <w:rFonts w:ascii="宋体" w:hAnsi="宋体"/>
          <w:color w:val="auto"/>
          <w:sz w:val="22"/>
          <w:highlight w:val="none"/>
        </w:rPr>
        <w:tab/>
      </w:r>
      <w:r>
        <w:rPr>
          <w:rFonts w:hint="eastAsia" w:ascii="宋体" w:hAnsi="宋体"/>
          <w:color w:val="auto"/>
          <w:sz w:val="22"/>
          <w:highlight w:val="none"/>
        </w:rPr>
        <w:t>C. 隐患排查治理</w:t>
      </w:r>
      <w:r>
        <w:rPr>
          <w:rFonts w:hint="eastAsia" w:ascii="宋体" w:hAnsi="宋体"/>
          <w:color w:val="auto"/>
          <w:sz w:val="22"/>
          <w:highlight w:val="none"/>
        </w:rPr>
        <w:tab/>
      </w:r>
      <w:r>
        <w:rPr>
          <w:rFonts w:ascii="宋体" w:hAnsi="宋体"/>
          <w:color w:val="auto"/>
          <w:sz w:val="22"/>
          <w:highlight w:val="none"/>
        </w:rPr>
        <w:tab/>
      </w:r>
      <w:r>
        <w:rPr>
          <w:rFonts w:hint="eastAsia" w:ascii="宋体" w:hAnsi="宋体"/>
          <w:color w:val="auto"/>
          <w:sz w:val="22"/>
          <w:highlight w:val="none"/>
        </w:rPr>
        <w:t>D. 安全监察</w:t>
      </w:r>
    </w:p>
    <w:p>
      <w:pPr>
        <w:pStyle w:val="13"/>
        <w:spacing w:line="400" w:lineRule="exact"/>
        <w:ind w:firstLine="440"/>
        <w:rPr>
          <w:rFonts w:ascii="宋体" w:hAnsi="宋体"/>
          <w:color w:val="auto"/>
          <w:sz w:val="22"/>
          <w:highlight w:val="none"/>
        </w:rPr>
      </w:pP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 xml:space="preserve">42. 供应链管理的意义包括（   </w:t>
      </w:r>
      <w:r>
        <w:rPr>
          <w:rFonts w:ascii="宋体" w:hAnsi="宋体"/>
          <w:color w:val="auto"/>
          <w:sz w:val="22"/>
          <w:highlight w:val="none"/>
        </w:rPr>
        <w:t xml:space="preserve"> </w:t>
      </w:r>
      <w:r>
        <w:rPr>
          <w:rFonts w:hint="eastAsia" w:ascii="宋体" w:hAnsi="宋体"/>
          <w:color w:val="auto"/>
          <w:sz w:val="22"/>
          <w:highlight w:val="none"/>
        </w:rPr>
        <w:t xml:space="preserve"> ）。</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A. 节约交易成本                B. 缩短交易时间</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 xml:space="preserve">C. 降低存货水平              </w:t>
      </w:r>
      <w:r>
        <w:rPr>
          <w:rFonts w:ascii="宋体" w:hAnsi="宋体"/>
          <w:color w:val="auto"/>
          <w:sz w:val="22"/>
          <w:highlight w:val="none"/>
        </w:rPr>
        <w:t xml:space="preserve">  </w:t>
      </w:r>
      <w:r>
        <w:rPr>
          <w:rFonts w:hint="eastAsia" w:ascii="宋体" w:hAnsi="宋体"/>
          <w:color w:val="auto"/>
          <w:sz w:val="22"/>
          <w:highlight w:val="none"/>
        </w:rPr>
        <w:t>D. 降低采购成本</w:t>
      </w:r>
    </w:p>
    <w:p>
      <w:pPr>
        <w:pStyle w:val="13"/>
        <w:spacing w:line="400" w:lineRule="exact"/>
        <w:ind w:firstLine="440"/>
        <w:rPr>
          <w:rFonts w:hint="eastAsia" w:ascii="宋体" w:hAnsi="宋体"/>
          <w:color w:val="auto"/>
          <w:sz w:val="22"/>
          <w:highlight w:val="none"/>
        </w:rPr>
      </w:pP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lang w:val="en-US" w:eastAsia="zh-CN"/>
        </w:rPr>
        <w:t>43.</w:t>
      </w:r>
      <w:r>
        <w:rPr>
          <w:rFonts w:hint="eastAsia" w:ascii="宋体" w:hAnsi="宋体"/>
          <w:color w:val="auto"/>
          <w:sz w:val="22"/>
          <w:highlight w:val="none"/>
        </w:rPr>
        <w:t>物流企业价值实现的路径有（</w:t>
      </w:r>
      <w:r>
        <w:rPr>
          <w:rFonts w:hint="eastAsia" w:ascii="宋体" w:hAnsi="宋体"/>
          <w:color w:val="auto"/>
          <w:sz w:val="22"/>
          <w:highlight w:val="none"/>
          <w:lang w:val="en-US" w:eastAsia="zh-CN"/>
        </w:rPr>
        <w:t xml:space="preserve">  </w:t>
      </w:r>
      <w:r>
        <w:rPr>
          <w:rFonts w:hint="eastAsia" w:ascii="宋体" w:hAnsi="宋体"/>
          <w:color w:val="auto"/>
          <w:sz w:val="22"/>
          <w:highlight w:val="none"/>
        </w:rPr>
        <w:t>）。</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A.满足客服质量</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B.企业经济效益</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C.满足客户数量的多少</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D.带给客户满足程度的大小</w:t>
      </w:r>
    </w:p>
    <w:p>
      <w:pPr>
        <w:pStyle w:val="13"/>
        <w:spacing w:line="400" w:lineRule="exact"/>
        <w:ind w:left="0" w:leftChars="0" w:firstLine="0" w:firstLineChars="0"/>
        <w:rPr>
          <w:rFonts w:hint="eastAsia" w:ascii="宋体" w:hAnsi="宋体"/>
          <w:color w:val="auto"/>
          <w:sz w:val="22"/>
          <w:highlight w:val="none"/>
        </w:rPr>
      </w:pP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lang w:val="en-US" w:eastAsia="zh-CN"/>
        </w:rPr>
        <w:t>44.</w:t>
      </w:r>
      <w:r>
        <w:rPr>
          <w:rFonts w:hint="eastAsia" w:ascii="宋体" w:hAnsi="宋体"/>
          <w:color w:val="auto"/>
          <w:sz w:val="22"/>
          <w:highlight w:val="none"/>
        </w:rPr>
        <w:t>SWOT分析分为内部因素和外部因素分析两大类，其中外部因素包括</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A.竞争对手</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B.市场趋势</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C.市场份额</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D.政府法规</w:t>
      </w:r>
    </w:p>
    <w:p>
      <w:pPr>
        <w:pStyle w:val="13"/>
        <w:spacing w:line="400" w:lineRule="exact"/>
        <w:ind w:left="0" w:leftChars="0" w:firstLine="0" w:firstLineChars="0"/>
        <w:rPr>
          <w:rFonts w:ascii="宋体" w:hAnsi="宋体"/>
          <w:color w:val="auto"/>
          <w:sz w:val="22"/>
          <w:highlight w:val="none"/>
        </w:rPr>
      </w:pP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 xml:space="preserve">45.物流企业的创新需要理解创新的内涵，创新的内涵包括（ </w:t>
      </w:r>
      <w:r>
        <w:rPr>
          <w:rFonts w:ascii="宋体" w:hAnsi="宋体"/>
          <w:color w:val="auto"/>
          <w:sz w:val="22"/>
          <w:highlight w:val="none"/>
        </w:rPr>
        <w:t xml:space="preserve"> </w:t>
      </w:r>
      <w:r>
        <w:rPr>
          <w:rFonts w:hint="eastAsia" w:ascii="宋体" w:hAnsi="宋体"/>
          <w:color w:val="auto"/>
          <w:sz w:val="22"/>
          <w:highlight w:val="none"/>
        </w:rPr>
        <w:t xml:space="preserve"> ）。</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A. 发现问题</w:t>
      </w:r>
      <w:r>
        <w:rPr>
          <w:rFonts w:hint="eastAsia" w:ascii="宋体" w:hAnsi="宋体"/>
          <w:color w:val="auto"/>
          <w:sz w:val="22"/>
          <w:highlight w:val="none"/>
        </w:rPr>
        <w:tab/>
      </w:r>
      <w:r>
        <w:rPr>
          <w:rFonts w:hint="eastAsia" w:ascii="宋体" w:hAnsi="宋体"/>
          <w:color w:val="auto"/>
          <w:sz w:val="22"/>
          <w:highlight w:val="none"/>
        </w:rPr>
        <w:tab/>
      </w:r>
      <w:r>
        <w:rPr>
          <w:rFonts w:hint="eastAsia" w:ascii="宋体" w:hAnsi="宋体"/>
          <w:color w:val="auto"/>
          <w:sz w:val="22"/>
          <w:highlight w:val="none"/>
        </w:rPr>
        <w:t>B. 分析问题</w:t>
      </w:r>
      <w:r>
        <w:rPr>
          <w:rFonts w:hint="eastAsia" w:ascii="宋体" w:hAnsi="宋体"/>
          <w:color w:val="auto"/>
          <w:sz w:val="22"/>
          <w:highlight w:val="none"/>
        </w:rPr>
        <w:tab/>
      </w:r>
      <w:r>
        <w:rPr>
          <w:rFonts w:ascii="宋体" w:hAnsi="宋体"/>
          <w:color w:val="auto"/>
          <w:sz w:val="22"/>
          <w:highlight w:val="none"/>
        </w:rPr>
        <w:tab/>
      </w:r>
      <w:r>
        <w:rPr>
          <w:rFonts w:hint="eastAsia" w:ascii="宋体" w:hAnsi="宋体"/>
          <w:color w:val="auto"/>
          <w:sz w:val="22"/>
          <w:highlight w:val="none"/>
        </w:rPr>
        <w:t>C. 解决问题</w:t>
      </w:r>
      <w:r>
        <w:rPr>
          <w:rFonts w:hint="eastAsia" w:ascii="宋体" w:hAnsi="宋体"/>
          <w:color w:val="auto"/>
          <w:sz w:val="22"/>
          <w:highlight w:val="none"/>
        </w:rPr>
        <w:tab/>
      </w:r>
      <w:r>
        <w:rPr>
          <w:rFonts w:ascii="宋体" w:hAnsi="宋体"/>
          <w:color w:val="auto"/>
          <w:sz w:val="22"/>
          <w:highlight w:val="none"/>
        </w:rPr>
        <w:tab/>
      </w:r>
      <w:r>
        <w:rPr>
          <w:rFonts w:hint="eastAsia" w:ascii="宋体" w:hAnsi="宋体"/>
          <w:color w:val="auto"/>
          <w:sz w:val="22"/>
          <w:highlight w:val="none"/>
        </w:rPr>
        <w:t>D. 防止问题</w:t>
      </w:r>
    </w:p>
    <w:p>
      <w:pPr>
        <w:pStyle w:val="13"/>
        <w:spacing w:line="400" w:lineRule="exact"/>
        <w:ind w:firstLine="440"/>
        <w:rPr>
          <w:rFonts w:ascii="宋体" w:hAnsi="宋体"/>
          <w:color w:val="auto"/>
          <w:sz w:val="22"/>
          <w:highlight w:val="none"/>
        </w:rPr>
      </w:pP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4</w:t>
      </w:r>
      <w:r>
        <w:rPr>
          <w:rFonts w:ascii="宋体" w:hAnsi="宋体"/>
          <w:color w:val="auto"/>
          <w:sz w:val="22"/>
          <w:highlight w:val="none"/>
        </w:rPr>
        <w:t>6.</w:t>
      </w:r>
      <w:r>
        <w:rPr>
          <w:rFonts w:hint="eastAsia" w:ascii="宋体" w:hAnsi="宋体"/>
          <w:color w:val="auto"/>
          <w:sz w:val="22"/>
          <w:highlight w:val="none"/>
        </w:rPr>
        <w:t xml:space="preserve">某快递企业的顾客在接受收发件业务服务后，通过手机APP接受满意度评价的调查，这种方法的优点包括（ </w:t>
      </w:r>
      <w:r>
        <w:rPr>
          <w:rFonts w:ascii="宋体" w:hAnsi="宋体"/>
          <w:color w:val="auto"/>
          <w:sz w:val="22"/>
          <w:highlight w:val="none"/>
        </w:rPr>
        <w:t xml:space="preserve"> </w:t>
      </w:r>
      <w:r>
        <w:rPr>
          <w:rFonts w:hint="eastAsia" w:ascii="宋体" w:hAnsi="宋体"/>
          <w:color w:val="auto"/>
          <w:sz w:val="22"/>
          <w:highlight w:val="none"/>
        </w:rPr>
        <w:t xml:space="preserve"> ）。</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 xml:space="preserve">  </w:t>
      </w:r>
      <w:r>
        <w:rPr>
          <w:rFonts w:hint="eastAsia" w:ascii="宋体" w:hAnsi="宋体"/>
          <w:color w:val="auto"/>
          <w:sz w:val="22"/>
          <w:highlight w:val="none"/>
        </w:rPr>
        <w:t xml:space="preserve">A. 操作简单 </w:t>
      </w:r>
      <w:r>
        <w:rPr>
          <w:rFonts w:ascii="宋体" w:hAnsi="宋体"/>
          <w:color w:val="auto"/>
          <w:sz w:val="22"/>
          <w:highlight w:val="none"/>
        </w:rPr>
        <w:t xml:space="preserve">  </w:t>
      </w:r>
      <w:r>
        <w:rPr>
          <w:rFonts w:hint="eastAsia" w:ascii="宋体" w:hAnsi="宋体"/>
          <w:color w:val="auto"/>
          <w:sz w:val="22"/>
          <w:highlight w:val="none"/>
        </w:rPr>
        <w:t xml:space="preserve">    </w:t>
      </w:r>
      <w:r>
        <w:rPr>
          <w:rFonts w:ascii="宋体" w:hAnsi="宋体"/>
          <w:color w:val="auto"/>
          <w:sz w:val="22"/>
          <w:highlight w:val="none"/>
        </w:rPr>
        <w:t xml:space="preserve">       </w:t>
      </w:r>
      <w:r>
        <w:rPr>
          <w:rFonts w:hint="eastAsia" w:ascii="宋体" w:hAnsi="宋体"/>
          <w:color w:val="auto"/>
          <w:sz w:val="22"/>
          <w:highlight w:val="none"/>
        </w:rPr>
        <w:t xml:space="preserve">B. 低成本 </w:t>
      </w:r>
      <w:r>
        <w:rPr>
          <w:rFonts w:ascii="宋体" w:hAnsi="宋体"/>
          <w:color w:val="auto"/>
          <w:sz w:val="22"/>
          <w:highlight w:val="none"/>
        </w:rPr>
        <w:t xml:space="preserve">     </w:t>
      </w:r>
      <w:r>
        <w:rPr>
          <w:rFonts w:hint="eastAsia" w:ascii="宋体" w:hAnsi="宋体"/>
          <w:color w:val="auto"/>
          <w:sz w:val="22"/>
          <w:highlight w:val="none"/>
        </w:rPr>
        <w:t xml:space="preserve">   </w:t>
      </w:r>
    </w:p>
    <w:p>
      <w:pPr>
        <w:pStyle w:val="13"/>
        <w:spacing w:line="400" w:lineRule="exact"/>
        <w:ind w:firstLine="660" w:firstLineChars="300"/>
        <w:rPr>
          <w:rFonts w:ascii="宋体" w:hAnsi="宋体"/>
          <w:color w:val="auto"/>
          <w:sz w:val="22"/>
          <w:highlight w:val="none"/>
        </w:rPr>
      </w:pPr>
      <w:r>
        <w:rPr>
          <w:rFonts w:hint="eastAsia" w:ascii="宋体" w:hAnsi="宋体"/>
          <w:color w:val="auto"/>
          <w:sz w:val="22"/>
          <w:highlight w:val="none"/>
        </w:rPr>
        <w:t xml:space="preserve">C. 准确率高  </w:t>
      </w:r>
      <w:r>
        <w:rPr>
          <w:rFonts w:hint="eastAsia" w:ascii="宋体" w:hAnsi="宋体"/>
          <w:color w:val="auto"/>
          <w:sz w:val="22"/>
          <w:highlight w:val="none"/>
        </w:rPr>
        <w:t xml:space="preserve">   </w:t>
      </w:r>
      <w:r>
        <w:rPr>
          <w:rFonts w:ascii="宋体" w:hAnsi="宋体"/>
          <w:color w:val="auto"/>
          <w:sz w:val="22"/>
          <w:highlight w:val="none"/>
        </w:rPr>
        <w:t xml:space="preserve">  </w:t>
      </w:r>
      <w:r>
        <w:rPr>
          <w:rFonts w:hint="eastAsia" w:ascii="宋体" w:hAnsi="宋体"/>
          <w:color w:val="auto"/>
          <w:sz w:val="22"/>
          <w:highlight w:val="none"/>
        </w:rPr>
        <w:t xml:space="preserve">  </w:t>
      </w:r>
      <w:r>
        <w:rPr>
          <w:rFonts w:ascii="宋体" w:hAnsi="宋体"/>
          <w:color w:val="auto"/>
          <w:sz w:val="22"/>
          <w:highlight w:val="none"/>
        </w:rPr>
        <w:t xml:space="preserve">     </w:t>
      </w:r>
      <w:r>
        <w:rPr>
          <w:rFonts w:hint="eastAsia" w:ascii="宋体" w:hAnsi="宋体"/>
          <w:color w:val="auto"/>
          <w:sz w:val="22"/>
          <w:highlight w:val="none"/>
        </w:rPr>
        <w:t>D. 可深入解释</w:t>
      </w:r>
    </w:p>
    <w:p>
      <w:pPr>
        <w:pStyle w:val="13"/>
        <w:spacing w:line="400" w:lineRule="exact"/>
        <w:ind w:left="0" w:leftChars="0" w:firstLine="0" w:firstLineChars="0"/>
        <w:rPr>
          <w:rFonts w:ascii="宋体" w:hAnsi="宋体"/>
          <w:color w:val="auto"/>
          <w:sz w:val="22"/>
          <w:highlight w:val="none"/>
        </w:rPr>
      </w:pP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4</w:t>
      </w:r>
      <w:r>
        <w:rPr>
          <w:rFonts w:ascii="宋体" w:hAnsi="宋体"/>
          <w:color w:val="auto"/>
          <w:sz w:val="22"/>
          <w:highlight w:val="none"/>
        </w:rPr>
        <w:t>7.</w:t>
      </w:r>
      <w:r>
        <w:rPr>
          <w:rFonts w:hint="eastAsia" w:ascii="宋体" w:hAnsi="宋体"/>
          <w:color w:val="auto"/>
          <w:sz w:val="22"/>
          <w:highlight w:val="none"/>
        </w:rPr>
        <w:t xml:space="preserve">众物智联物流与供应链集团的营销人员进行顾客开发时，需要遵循的步骤包括（ </w:t>
      </w:r>
      <w:r>
        <w:rPr>
          <w:rFonts w:ascii="宋体" w:hAnsi="宋体"/>
          <w:color w:val="auto"/>
          <w:sz w:val="22"/>
          <w:highlight w:val="none"/>
        </w:rPr>
        <w:t xml:space="preserve"> </w:t>
      </w:r>
      <w:r>
        <w:rPr>
          <w:rFonts w:hint="eastAsia" w:ascii="宋体" w:hAnsi="宋体"/>
          <w:color w:val="auto"/>
          <w:sz w:val="22"/>
          <w:highlight w:val="none"/>
        </w:rPr>
        <w:t xml:space="preserve">   ）。</w:t>
      </w:r>
    </w:p>
    <w:p>
      <w:pPr>
        <w:pStyle w:val="13"/>
        <w:spacing w:line="400" w:lineRule="exact"/>
        <w:ind w:firstLine="440"/>
        <w:rPr>
          <w:rFonts w:ascii="宋体" w:hAnsi="宋体"/>
          <w:color w:val="auto"/>
          <w:sz w:val="22"/>
          <w:highlight w:val="none"/>
        </w:rPr>
      </w:pPr>
      <w:r>
        <w:rPr>
          <w:rFonts w:ascii="宋体" w:hAnsi="宋体"/>
          <w:color w:val="auto"/>
          <w:sz w:val="22"/>
          <w:highlight w:val="none"/>
        </w:rPr>
        <w:t>A.</w:t>
      </w:r>
      <w:r>
        <w:rPr>
          <w:rFonts w:hint="eastAsia" w:ascii="宋体" w:hAnsi="宋体"/>
          <w:color w:val="auto"/>
          <w:sz w:val="22"/>
          <w:highlight w:val="none"/>
        </w:rPr>
        <w:t>通过拜访、展会、广告业务发现顾客</w:t>
      </w:r>
      <w:r>
        <w:rPr>
          <w:rFonts w:ascii="宋体" w:hAnsi="宋体"/>
          <w:color w:val="auto"/>
          <w:sz w:val="22"/>
          <w:highlight w:val="none"/>
        </w:rPr>
        <w:t xml:space="preserve">     B.</w:t>
      </w:r>
      <w:r>
        <w:rPr>
          <w:rFonts w:hint="eastAsia" w:ascii="宋体" w:hAnsi="宋体"/>
          <w:color w:val="auto"/>
          <w:sz w:val="22"/>
          <w:highlight w:val="none"/>
        </w:rPr>
        <w:t>对顾客进一步的了解与认识</w:t>
      </w:r>
      <w:r>
        <w:rPr>
          <w:rFonts w:ascii="宋体" w:hAnsi="宋体"/>
          <w:color w:val="auto"/>
          <w:sz w:val="22"/>
          <w:highlight w:val="none"/>
        </w:rPr>
        <w:t xml:space="preserve">    </w:t>
      </w:r>
    </w:p>
    <w:p>
      <w:pPr>
        <w:pStyle w:val="13"/>
        <w:spacing w:line="400" w:lineRule="exact"/>
        <w:ind w:firstLine="440"/>
        <w:rPr>
          <w:rFonts w:ascii="宋体" w:hAnsi="宋体"/>
          <w:color w:val="auto"/>
          <w:sz w:val="22"/>
          <w:highlight w:val="none"/>
        </w:rPr>
      </w:pPr>
      <w:r>
        <w:rPr>
          <w:rFonts w:ascii="宋体" w:hAnsi="宋体"/>
          <w:color w:val="auto"/>
          <w:sz w:val="22"/>
          <w:highlight w:val="none"/>
        </w:rPr>
        <w:t>C.</w:t>
      </w:r>
      <w:r>
        <w:rPr>
          <w:rFonts w:hint="eastAsia" w:ascii="宋体" w:hAnsi="宋体"/>
          <w:color w:val="auto"/>
          <w:sz w:val="22"/>
          <w:highlight w:val="none"/>
        </w:rPr>
        <w:t>开展企业的营销工作</w:t>
      </w:r>
      <w:r>
        <w:rPr>
          <w:rFonts w:ascii="宋体" w:hAnsi="宋体"/>
          <w:color w:val="auto"/>
          <w:sz w:val="22"/>
          <w:highlight w:val="none"/>
        </w:rPr>
        <w:t xml:space="preserve">                   D.</w:t>
      </w:r>
      <w:r>
        <w:rPr>
          <w:rFonts w:hint="eastAsia" w:ascii="宋体" w:hAnsi="宋体"/>
          <w:color w:val="auto"/>
          <w:sz w:val="22"/>
          <w:highlight w:val="none"/>
        </w:rPr>
        <w:t>明确合作合同</w:t>
      </w:r>
    </w:p>
    <w:p>
      <w:pPr>
        <w:pStyle w:val="13"/>
        <w:spacing w:line="400" w:lineRule="exact"/>
        <w:ind w:firstLine="440"/>
        <w:rPr>
          <w:rFonts w:ascii="宋体" w:hAnsi="宋体"/>
          <w:color w:val="auto"/>
          <w:sz w:val="22"/>
          <w:highlight w:val="none"/>
        </w:rPr>
      </w:pP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4</w:t>
      </w:r>
      <w:r>
        <w:rPr>
          <w:rFonts w:ascii="宋体" w:hAnsi="宋体"/>
          <w:color w:val="auto"/>
          <w:sz w:val="22"/>
          <w:highlight w:val="none"/>
        </w:rPr>
        <w:t>8.</w:t>
      </w:r>
      <w:r>
        <w:rPr>
          <w:rFonts w:hint="eastAsia" w:ascii="宋体" w:hAnsi="宋体"/>
          <w:color w:val="auto"/>
          <w:sz w:val="22"/>
          <w:highlight w:val="none"/>
        </w:rPr>
        <w:t>物流企业的招标文件应详细描述招标需求，主要内容包括（</w:t>
      </w:r>
      <w:r>
        <w:rPr>
          <w:rFonts w:ascii="宋体" w:hAnsi="宋体"/>
          <w:color w:val="auto"/>
          <w:sz w:val="22"/>
          <w:highlight w:val="none"/>
        </w:rPr>
        <w:t xml:space="preserve">   </w:t>
      </w:r>
      <w:r>
        <w:rPr>
          <w:rFonts w:hint="eastAsia" w:ascii="宋体" w:hAnsi="宋体"/>
          <w:color w:val="auto"/>
          <w:sz w:val="22"/>
          <w:highlight w:val="none"/>
        </w:rPr>
        <w:t>）、企业资质等要求。</w:t>
      </w:r>
    </w:p>
    <w:p>
      <w:pPr>
        <w:pStyle w:val="13"/>
        <w:spacing w:line="400" w:lineRule="exact"/>
        <w:ind w:firstLine="440"/>
        <w:rPr>
          <w:rFonts w:ascii="宋体" w:hAnsi="宋体"/>
          <w:color w:val="auto"/>
          <w:sz w:val="22"/>
          <w:highlight w:val="none"/>
        </w:rPr>
      </w:pPr>
      <w:r>
        <w:rPr>
          <w:rFonts w:ascii="宋体" w:hAnsi="宋体"/>
          <w:color w:val="auto"/>
          <w:sz w:val="22"/>
          <w:highlight w:val="none"/>
        </w:rPr>
        <w:t xml:space="preserve">  A.</w:t>
      </w:r>
      <w:r>
        <w:rPr>
          <w:rFonts w:hint="eastAsia" w:ascii="宋体" w:hAnsi="宋体"/>
          <w:color w:val="auto"/>
          <w:sz w:val="22"/>
          <w:highlight w:val="none"/>
        </w:rPr>
        <w:t>招标时间</w:t>
      </w:r>
      <w:r>
        <w:rPr>
          <w:rFonts w:ascii="宋体" w:hAnsi="宋体"/>
          <w:color w:val="auto"/>
          <w:sz w:val="22"/>
          <w:highlight w:val="none"/>
        </w:rPr>
        <w:t xml:space="preserve">           B.</w:t>
      </w:r>
      <w:r>
        <w:rPr>
          <w:rFonts w:hint="eastAsia" w:ascii="宋体" w:hAnsi="宋体"/>
          <w:color w:val="auto"/>
          <w:sz w:val="22"/>
          <w:highlight w:val="none"/>
        </w:rPr>
        <w:t>物流需求</w:t>
      </w:r>
      <w:r>
        <w:rPr>
          <w:rFonts w:ascii="宋体" w:hAnsi="宋体"/>
          <w:color w:val="auto"/>
          <w:sz w:val="22"/>
          <w:highlight w:val="none"/>
        </w:rPr>
        <w:t xml:space="preserve">         </w:t>
      </w:r>
    </w:p>
    <w:p>
      <w:pPr>
        <w:pStyle w:val="13"/>
        <w:spacing w:line="400" w:lineRule="exact"/>
        <w:ind w:firstLine="660" w:firstLineChars="300"/>
        <w:rPr>
          <w:rFonts w:ascii="宋体" w:hAnsi="宋体"/>
          <w:color w:val="auto"/>
          <w:sz w:val="22"/>
          <w:highlight w:val="none"/>
        </w:rPr>
      </w:pPr>
      <w:r>
        <w:rPr>
          <w:rFonts w:ascii="宋体" w:hAnsi="宋体"/>
          <w:color w:val="auto"/>
          <w:sz w:val="22"/>
          <w:highlight w:val="none"/>
        </w:rPr>
        <w:t>C.</w:t>
      </w:r>
      <w:r>
        <w:rPr>
          <w:rFonts w:hint="eastAsia" w:ascii="宋体" w:hAnsi="宋体"/>
          <w:color w:val="auto"/>
          <w:sz w:val="22"/>
          <w:highlight w:val="none"/>
        </w:rPr>
        <w:t>服务质量</w:t>
      </w:r>
      <w:r>
        <w:rPr>
          <w:rFonts w:ascii="宋体" w:hAnsi="宋体"/>
          <w:color w:val="auto"/>
          <w:sz w:val="22"/>
          <w:highlight w:val="none"/>
        </w:rPr>
        <w:t xml:space="preserve">           D.</w:t>
      </w:r>
      <w:r>
        <w:rPr>
          <w:rFonts w:hint="eastAsia" w:ascii="宋体" w:hAnsi="宋体"/>
          <w:color w:val="auto"/>
          <w:sz w:val="22"/>
          <w:highlight w:val="none"/>
        </w:rPr>
        <w:t>投标时间</w:t>
      </w:r>
    </w:p>
    <w:p>
      <w:pPr>
        <w:pStyle w:val="13"/>
        <w:spacing w:line="400" w:lineRule="exact"/>
        <w:ind w:firstLine="440"/>
        <w:rPr>
          <w:rFonts w:ascii="宋体" w:hAnsi="宋体"/>
          <w:color w:val="auto"/>
          <w:sz w:val="22"/>
          <w:highlight w:val="none"/>
        </w:rPr>
      </w:pP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49</w:t>
      </w:r>
      <w:bookmarkStart w:id="12" w:name="_Hlk89445053"/>
      <w:r>
        <w:rPr>
          <w:rFonts w:hint="eastAsia" w:ascii="宋体" w:hAnsi="宋体"/>
          <w:color w:val="auto"/>
          <w:sz w:val="22"/>
          <w:highlight w:val="none"/>
          <w:lang w:eastAsia="zh-CN"/>
        </w:rPr>
        <w:t>.</w:t>
      </w:r>
      <w:r>
        <w:rPr>
          <w:rFonts w:hint="eastAsia" w:ascii="宋体" w:hAnsi="宋体"/>
          <w:color w:val="auto"/>
          <w:sz w:val="22"/>
          <w:highlight w:val="none"/>
        </w:rPr>
        <w:t>在开展月度盘点工作时，仓库主管要确的工作要素包括</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A.盘点责任人</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B.盘点计划</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C.盘点内容</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D.盘点时间</w:t>
      </w:r>
    </w:p>
    <w:bookmarkEnd w:id="12"/>
    <w:p>
      <w:pPr>
        <w:pStyle w:val="13"/>
        <w:spacing w:line="400" w:lineRule="exact"/>
        <w:ind w:left="0" w:leftChars="0" w:firstLine="0" w:firstLineChars="0"/>
        <w:rPr>
          <w:rFonts w:ascii="宋体" w:hAnsi="宋体"/>
          <w:color w:val="auto"/>
          <w:sz w:val="22"/>
          <w:highlight w:val="none"/>
        </w:rPr>
      </w:pPr>
    </w:p>
    <w:p>
      <w:pPr>
        <w:pStyle w:val="13"/>
        <w:spacing w:line="400" w:lineRule="exact"/>
        <w:ind w:firstLine="440"/>
        <w:rPr>
          <w:rFonts w:ascii="宋体" w:hAnsi="宋体"/>
          <w:color w:val="auto"/>
          <w:sz w:val="22"/>
          <w:highlight w:val="none"/>
        </w:rPr>
      </w:pPr>
      <w:bookmarkStart w:id="13" w:name="_Hlk53573403"/>
      <w:r>
        <w:rPr>
          <w:rFonts w:hint="eastAsia" w:ascii="宋体" w:hAnsi="宋体"/>
          <w:color w:val="auto"/>
          <w:sz w:val="22"/>
          <w:highlight w:val="none"/>
        </w:rPr>
        <w:t>5</w:t>
      </w:r>
      <w:r>
        <w:rPr>
          <w:rFonts w:ascii="宋体" w:hAnsi="宋体"/>
          <w:color w:val="auto"/>
          <w:sz w:val="22"/>
          <w:highlight w:val="none"/>
        </w:rPr>
        <w:t>0.</w:t>
      </w:r>
      <w:r>
        <w:rPr>
          <w:rFonts w:hint="eastAsia" w:ascii="宋体" w:hAnsi="宋体"/>
          <w:color w:val="auto"/>
          <w:sz w:val="22"/>
          <w:highlight w:val="none"/>
        </w:rPr>
        <w:t xml:space="preserve"> 以下关于高危物品的保管措施描述正确的是（  </w:t>
      </w:r>
      <w:r>
        <w:rPr>
          <w:rFonts w:ascii="宋体" w:hAnsi="宋体"/>
          <w:color w:val="auto"/>
          <w:sz w:val="22"/>
          <w:highlight w:val="none"/>
        </w:rPr>
        <w:t xml:space="preserve"> </w:t>
      </w:r>
      <w:r>
        <w:rPr>
          <w:rFonts w:hint="eastAsia" w:ascii="宋体" w:hAnsi="宋体"/>
          <w:color w:val="auto"/>
          <w:sz w:val="22"/>
          <w:highlight w:val="none"/>
        </w:rPr>
        <w:t xml:space="preserve"> ）。</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A. 制定危险品专用库房管理细则</w:t>
      </w:r>
      <w:r>
        <w:rPr>
          <w:rFonts w:hint="eastAsia" w:ascii="宋体" w:hAnsi="宋体"/>
          <w:color w:val="auto"/>
          <w:sz w:val="22"/>
          <w:highlight w:val="none"/>
        </w:rPr>
        <w:tab/>
      </w:r>
      <w:r>
        <w:rPr>
          <w:rFonts w:hint="eastAsia" w:ascii="宋体" w:hAnsi="宋体"/>
          <w:color w:val="auto"/>
          <w:sz w:val="22"/>
          <w:highlight w:val="none"/>
        </w:rPr>
        <w:tab/>
      </w:r>
      <w:r>
        <w:rPr>
          <w:rFonts w:ascii="宋体" w:hAnsi="宋体"/>
          <w:color w:val="auto"/>
          <w:sz w:val="22"/>
          <w:highlight w:val="none"/>
        </w:rPr>
        <w:tab/>
      </w:r>
      <w:r>
        <w:rPr>
          <w:rFonts w:hint="eastAsia" w:ascii="宋体" w:hAnsi="宋体"/>
          <w:color w:val="auto"/>
          <w:sz w:val="22"/>
          <w:highlight w:val="none"/>
        </w:rPr>
        <w:t>B. 管理人员必须持证上岗</w:t>
      </w:r>
      <w:r>
        <w:rPr>
          <w:rFonts w:hint="eastAsia" w:ascii="宋体" w:hAnsi="宋体"/>
          <w:color w:val="auto"/>
          <w:sz w:val="22"/>
          <w:highlight w:val="none"/>
        </w:rPr>
        <w:tab/>
      </w:r>
      <w:r>
        <w:rPr>
          <w:rFonts w:ascii="宋体" w:hAnsi="宋体"/>
          <w:color w:val="auto"/>
          <w:sz w:val="22"/>
          <w:highlight w:val="none"/>
        </w:rPr>
        <w:tab/>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C. 放置明显的警示标识</w:t>
      </w:r>
      <w:r>
        <w:rPr>
          <w:rFonts w:ascii="宋体" w:hAnsi="宋体"/>
          <w:color w:val="auto"/>
          <w:sz w:val="22"/>
          <w:highlight w:val="none"/>
        </w:rPr>
        <w:tab/>
      </w:r>
      <w:r>
        <w:rPr>
          <w:rFonts w:ascii="宋体" w:hAnsi="宋体"/>
          <w:color w:val="auto"/>
          <w:sz w:val="22"/>
          <w:highlight w:val="none"/>
        </w:rPr>
        <w:tab/>
      </w:r>
      <w:r>
        <w:rPr>
          <w:rFonts w:hint="eastAsia" w:ascii="宋体" w:hAnsi="宋体"/>
          <w:color w:val="auto"/>
          <w:sz w:val="22"/>
          <w:highlight w:val="none"/>
        </w:rPr>
        <w:tab/>
      </w:r>
      <w:r>
        <w:rPr>
          <w:rFonts w:ascii="宋体" w:hAnsi="宋体"/>
          <w:color w:val="auto"/>
          <w:sz w:val="22"/>
          <w:highlight w:val="none"/>
        </w:rPr>
        <w:tab/>
      </w:r>
      <w:r>
        <w:rPr>
          <w:rFonts w:ascii="宋体" w:hAnsi="宋体"/>
          <w:color w:val="auto"/>
          <w:sz w:val="22"/>
          <w:highlight w:val="none"/>
        </w:rPr>
        <w:tab/>
      </w:r>
      <w:r>
        <w:rPr>
          <w:rFonts w:hint="eastAsia" w:ascii="宋体" w:hAnsi="宋体"/>
          <w:color w:val="auto"/>
          <w:sz w:val="22"/>
          <w:highlight w:val="none"/>
        </w:rPr>
        <w:t>D. 仓管管理人员不用培训</w:t>
      </w:r>
    </w:p>
    <w:p>
      <w:pPr>
        <w:pStyle w:val="13"/>
        <w:spacing w:line="400" w:lineRule="exact"/>
        <w:ind w:firstLine="440"/>
        <w:rPr>
          <w:rFonts w:ascii="宋体" w:hAnsi="宋体"/>
          <w:color w:val="auto"/>
          <w:sz w:val="22"/>
          <w:highlight w:val="none"/>
        </w:rPr>
      </w:pPr>
    </w:p>
    <w:bookmarkEnd w:id="13"/>
    <w:p>
      <w:pPr>
        <w:pStyle w:val="13"/>
        <w:spacing w:line="400" w:lineRule="exact"/>
        <w:ind w:firstLine="440"/>
        <w:rPr>
          <w:rFonts w:ascii="宋体" w:hAnsi="宋体"/>
          <w:color w:val="auto"/>
          <w:sz w:val="22"/>
          <w:highlight w:val="none"/>
        </w:rPr>
      </w:pPr>
      <w:bookmarkStart w:id="14" w:name="_Hlk53573390"/>
      <w:r>
        <w:rPr>
          <w:rFonts w:hint="eastAsia" w:ascii="宋体" w:hAnsi="宋体"/>
          <w:color w:val="auto"/>
          <w:sz w:val="22"/>
          <w:highlight w:val="none"/>
        </w:rPr>
        <w:t>51.在进行存储面积“非保管区”设计时应考虑的因素包括（    ）。</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A.</w:t>
      </w:r>
      <w:r>
        <w:rPr>
          <w:rFonts w:hint="eastAsia" w:ascii="宋体" w:hAnsi="宋体"/>
          <w:color w:val="auto"/>
          <w:sz w:val="22"/>
          <w:highlight w:val="none"/>
        </w:rPr>
        <w:tab/>
      </w:r>
      <w:r>
        <w:rPr>
          <w:rFonts w:hint="eastAsia" w:ascii="宋体" w:hAnsi="宋体"/>
          <w:color w:val="auto"/>
          <w:sz w:val="22"/>
          <w:highlight w:val="none"/>
        </w:rPr>
        <w:t>墙间距</w:t>
      </w:r>
      <w:r>
        <w:rPr>
          <w:rFonts w:hint="eastAsia" w:ascii="宋体" w:hAnsi="宋体"/>
          <w:color w:val="auto"/>
          <w:sz w:val="22"/>
          <w:highlight w:val="none"/>
        </w:rPr>
        <w:tab/>
      </w:r>
      <w:r>
        <w:rPr>
          <w:rFonts w:hint="eastAsia" w:ascii="宋体" w:hAnsi="宋体"/>
          <w:color w:val="auto"/>
          <w:sz w:val="22"/>
          <w:highlight w:val="none"/>
        </w:rPr>
        <w:t xml:space="preserve">   </w:t>
      </w:r>
      <w:r>
        <w:rPr>
          <w:rFonts w:hint="eastAsia" w:ascii="宋体" w:hAnsi="宋体"/>
          <w:color w:val="auto"/>
          <w:sz w:val="22"/>
          <w:highlight w:val="none"/>
        </w:rPr>
        <w:tab/>
      </w:r>
      <w:r>
        <w:rPr>
          <w:rFonts w:hint="eastAsia" w:ascii="宋体" w:hAnsi="宋体"/>
          <w:color w:val="auto"/>
          <w:sz w:val="22"/>
          <w:highlight w:val="none"/>
        </w:rPr>
        <w:t>B.收发货区</w:t>
      </w:r>
      <w:r>
        <w:rPr>
          <w:rFonts w:hint="eastAsia" w:ascii="宋体" w:hAnsi="宋体"/>
          <w:color w:val="auto"/>
          <w:sz w:val="22"/>
          <w:highlight w:val="none"/>
        </w:rPr>
        <w:tab/>
      </w:r>
      <w:r>
        <w:rPr>
          <w:rFonts w:hint="eastAsia" w:ascii="宋体" w:hAnsi="宋体"/>
          <w:color w:val="auto"/>
          <w:sz w:val="22"/>
          <w:highlight w:val="none"/>
        </w:rPr>
        <w:tab/>
      </w:r>
      <w:r>
        <w:rPr>
          <w:rFonts w:hint="eastAsia" w:ascii="宋体" w:hAnsi="宋体"/>
          <w:color w:val="auto"/>
          <w:sz w:val="22"/>
          <w:highlight w:val="none"/>
        </w:rPr>
        <w:t>C.库内办公地点</w:t>
      </w:r>
      <w:r>
        <w:rPr>
          <w:rFonts w:hint="eastAsia" w:ascii="宋体" w:hAnsi="宋体"/>
          <w:color w:val="auto"/>
          <w:sz w:val="22"/>
          <w:highlight w:val="none"/>
        </w:rPr>
        <w:tab/>
      </w:r>
      <w:r>
        <w:rPr>
          <w:rFonts w:hint="eastAsia" w:ascii="宋体" w:hAnsi="宋体"/>
          <w:color w:val="auto"/>
          <w:sz w:val="22"/>
          <w:highlight w:val="none"/>
        </w:rPr>
        <w:tab/>
      </w:r>
      <w:r>
        <w:rPr>
          <w:rFonts w:hint="eastAsia" w:ascii="宋体" w:hAnsi="宋体"/>
          <w:color w:val="auto"/>
          <w:sz w:val="22"/>
          <w:highlight w:val="none"/>
        </w:rPr>
        <w:t>D.存储区域</w:t>
      </w:r>
    </w:p>
    <w:p>
      <w:pPr>
        <w:pStyle w:val="13"/>
        <w:spacing w:line="400" w:lineRule="exact"/>
        <w:ind w:firstLine="440"/>
        <w:rPr>
          <w:rFonts w:ascii="宋体" w:hAnsi="宋体"/>
          <w:color w:val="auto"/>
          <w:sz w:val="22"/>
          <w:highlight w:val="none"/>
        </w:rPr>
      </w:pP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lang w:val="en-US" w:eastAsia="zh-CN"/>
        </w:rPr>
        <w:t>52.</w:t>
      </w:r>
      <w:r>
        <w:rPr>
          <w:rFonts w:hint="eastAsia" w:ascii="宋体" w:hAnsi="宋体"/>
          <w:color w:val="auto"/>
          <w:sz w:val="22"/>
          <w:highlight w:val="none"/>
        </w:rPr>
        <w:t>经济订货批量是对企业的存货进行分析，从企业的经营数据中寻求使存货成本最低的存货订购量的决策模型，它是企业常用的存货订货决策方法。下列对经济订货批量(EOQ)描述正确的有</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A.企业运用EOQ来寻求企业库存持有成本和订货成本的最小化，并以此来制定订货测量。</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B.通过平衡采购进货成本和保管仓储成本核算，以实现总库存成本最低的最佳订货量</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C.考虑存货储存成本,并由此得出最优成本方案，并通过合理批量才能够获得最佳的投资效益。</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D.Excel是最基础也是最主要的EOQ数据分析工具</w:t>
      </w:r>
    </w:p>
    <w:p>
      <w:pPr>
        <w:pStyle w:val="13"/>
        <w:spacing w:line="400" w:lineRule="exact"/>
        <w:ind w:left="0" w:leftChars="0" w:firstLine="0" w:firstLineChars="0"/>
        <w:rPr>
          <w:rFonts w:hint="eastAsia" w:ascii="宋体" w:hAnsi="宋体" w:eastAsia="宋体"/>
          <w:color w:val="auto"/>
          <w:sz w:val="22"/>
          <w:highlight w:val="none"/>
          <w:lang w:eastAsia="zh-CN"/>
        </w:rPr>
      </w:pP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5</w:t>
      </w:r>
      <w:r>
        <w:rPr>
          <w:rFonts w:ascii="宋体" w:hAnsi="宋体"/>
          <w:color w:val="auto"/>
          <w:sz w:val="22"/>
          <w:highlight w:val="none"/>
        </w:rPr>
        <w:t>3.</w:t>
      </w:r>
      <w:r>
        <w:rPr>
          <w:rFonts w:hint="eastAsia" w:ascii="宋体" w:hAnsi="宋体"/>
          <w:color w:val="auto"/>
          <w:sz w:val="22"/>
          <w:highlight w:val="none"/>
        </w:rPr>
        <w:t xml:space="preserve">节约里程法适用条件为（ </w:t>
      </w:r>
      <w:r>
        <w:rPr>
          <w:rFonts w:ascii="宋体" w:hAnsi="宋体"/>
          <w:color w:val="auto"/>
          <w:sz w:val="22"/>
          <w:highlight w:val="none"/>
        </w:rPr>
        <w:t xml:space="preserve">  </w:t>
      </w:r>
      <w:r>
        <w:rPr>
          <w:rFonts w:hint="eastAsia" w:ascii="宋体" w:hAnsi="宋体"/>
          <w:color w:val="auto"/>
          <w:sz w:val="22"/>
          <w:highlight w:val="none"/>
        </w:rPr>
        <w:t>）。</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A.适用于有稳定客户群的配送中心</w:t>
      </w:r>
      <w:r>
        <w:rPr>
          <w:rFonts w:ascii="宋体" w:hAnsi="宋体"/>
          <w:color w:val="auto"/>
          <w:sz w:val="22"/>
          <w:highlight w:val="none"/>
        </w:rPr>
        <w:tab/>
      </w:r>
      <w:r>
        <w:rPr>
          <w:rFonts w:ascii="宋体" w:hAnsi="宋体"/>
          <w:color w:val="auto"/>
          <w:sz w:val="22"/>
          <w:highlight w:val="none"/>
        </w:rPr>
        <w:tab/>
      </w:r>
      <w:r>
        <w:rPr>
          <w:rFonts w:hint="eastAsia" w:ascii="宋体" w:hAnsi="宋体"/>
          <w:color w:val="auto"/>
          <w:sz w:val="22"/>
          <w:highlight w:val="none"/>
        </w:rPr>
        <w:t xml:space="preserve">B.各配送线路的负荷要尽量均衡          </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 xml:space="preserve">C.要考虑客户要求的交货时间     </w:t>
      </w:r>
      <w:r>
        <w:rPr>
          <w:rFonts w:ascii="宋体" w:hAnsi="宋体"/>
          <w:color w:val="auto"/>
          <w:sz w:val="22"/>
          <w:highlight w:val="none"/>
        </w:rPr>
        <w:tab/>
      </w:r>
      <w:r>
        <w:rPr>
          <w:rFonts w:hint="eastAsia" w:ascii="宋体" w:hAnsi="宋体"/>
          <w:color w:val="auto"/>
          <w:sz w:val="22"/>
          <w:highlight w:val="none"/>
        </w:rPr>
        <w:t>D.货物总量不能超过车辆的额定载重量</w:t>
      </w:r>
    </w:p>
    <w:p>
      <w:pPr>
        <w:pStyle w:val="13"/>
        <w:spacing w:line="400" w:lineRule="exact"/>
        <w:ind w:firstLine="440"/>
        <w:rPr>
          <w:rFonts w:hint="eastAsia" w:ascii="宋体" w:hAnsi="宋体"/>
          <w:color w:val="auto"/>
          <w:sz w:val="22"/>
          <w:highlight w:val="none"/>
        </w:rPr>
      </w:pP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54</w:t>
      </w:r>
      <w:r>
        <w:rPr>
          <w:rFonts w:hint="eastAsia" w:ascii="宋体" w:hAnsi="宋体"/>
          <w:color w:val="auto"/>
          <w:sz w:val="22"/>
          <w:highlight w:val="none"/>
          <w:lang w:eastAsia="zh-CN"/>
        </w:rPr>
        <w:t>.</w:t>
      </w:r>
      <w:r>
        <w:rPr>
          <w:rFonts w:hint="eastAsia" w:ascii="宋体" w:hAnsi="宋体"/>
          <w:color w:val="auto"/>
          <w:sz w:val="22"/>
          <w:highlight w:val="none"/>
        </w:rPr>
        <w:t>高铁货运是中国铁路为客户提供的与高铁品牌形象和客运服务水准相匹配的小件快运服务。下列属于高铁货运优势的有（</w:t>
      </w:r>
      <w:r>
        <w:rPr>
          <w:rFonts w:hint="eastAsia" w:ascii="宋体" w:hAnsi="宋体"/>
          <w:color w:val="auto"/>
          <w:sz w:val="22"/>
          <w:highlight w:val="none"/>
          <w:lang w:val="en-US" w:eastAsia="zh-CN"/>
        </w:rPr>
        <w:t xml:space="preserve">   </w:t>
      </w:r>
      <w:r>
        <w:rPr>
          <w:rFonts w:hint="eastAsia" w:ascii="宋体" w:hAnsi="宋体"/>
          <w:color w:val="auto"/>
          <w:sz w:val="22"/>
          <w:highlight w:val="none"/>
        </w:rPr>
        <w:t>）。</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A.速度快</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B.成本高</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C.事故率高</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D.准点率高</w:t>
      </w:r>
    </w:p>
    <w:p>
      <w:pPr>
        <w:pStyle w:val="13"/>
        <w:spacing w:line="400" w:lineRule="exact"/>
        <w:ind w:firstLine="440"/>
        <w:rPr>
          <w:rFonts w:ascii="宋体" w:hAnsi="宋体"/>
          <w:color w:val="auto"/>
          <w:sz w:val="22"/>
          <w:highlight w:val="none"/>
        </w:rPr>
      </w:pP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5</w:t>
      </w:r>
      <w:bookmarkStart w:id="15" w:name="_Hlk89448081"/>
      <w:r>
        <w:rPr>
          <w:rFonts w:hint="eastAsia" w:ascii="宋体" w:hAnsi="宋体"/>
          <w:color w:val="auto"/>
          <w:sz w:val="22"/>
          <w:highlight w:val="none"/>
          <w:lang w:val="en-US" w:eastAsia="zh-CN"/>
        </w:rPr>
        <w:t>5.</w:t>
      </w:r>
      <w:r>
        <w:rPr>
          <w:rFonts w:hint="eastAsia" w:ascii="宋体" w:hAnsi="宋体"/>
          <w:color w:val="auto"/>
          <w:sz w:val="22"/>
          <w:highlight w:val="none"/>
        </w:rPr>
        <w:t>高铁货运是中国铁路为客户提供的与高铁品牌形象和客运服务水准相匹配，具有时效快、品质优、标准高的“门到门”小件快运服务。我国高铁快运的主体是中铁快运股份有限公司，其推出的高铁货运产品有（</w:t>
      </w:r>
      <w:r>
        <w:rPr>
          <w:rFonts w:hint="eastAsia" w:ascii="宋体" w:hAnsi="宋体"/>
          <w:color w:val="auto"/>
          <w:sz w:val="22"/>
          <w:highlight w:val="none"/>
          <w:lang w:val="en-US" w:eastAsia="zh-CN"/>
        </w:rPr>
        <w:t xml:space="preserve">   </w:t>
      </w:r>
      <w:r>
        <w:rPr>
          <w:rFonts w:hint="eastAsia" w:ascii="宋体" w:hAnsi="宋体"/>
          <w:color w:val="auto"/>
          <w:sz w:val="22"/>
          <w:highlight w:val="none"/>
        </w:rPr>
        <w:t>）。</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A.“当日达”</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B.“次日达”</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C.“隔日达”</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D.“次晨达”</w:t>
      </w:r>
      <w:bookmarkEnd w:id="15"/>
    </w:p>
    <w:p>
      <w:pPr>
        <w:pStyle w:val="13"/>
        <w:spacing w:line="400" w:lineRule="exact"/>
        <w:ind w:firstLine="440"/>
        <w:rPr>
          <w:rFonts w:hint="eastAsia" w:ascii="宋体" w:hAnsi="宋体"/>
          <w:color w:val="auto"/>
          <w:sz w:val="22"/>
          <w:highlight w:val="none"/>
        </w:rPr>
      </w:pP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56</w:t>
      </w:r>
      <w:r>
        <w:rPr>
          <w:rFonts w:hint="eastAsia" w:ascii="宋体" w:hAnsi="宋体"/>
          <w:color w:val="auto"/>
          <w:sz w:val="22"/>
          <w:highlight w:val="none"/>
          <w:lang w:eastAsia="zh-CN"/>
        </w:rPr>
        <w:t>.</w:t>
      </w:r>
      <w:r>
        <w:rPr>
          <w:rFonts w:hint="eastAsia" w:ascii="宋体" w:hAnsi="宋体"/>
          <w:color w:val="auto"/>
          <w:sz w:val="22"/>
          <w:highlight w:val="none"/>
        </w:rPr>
        <w:t>物流成本控制对象的形式包括（</w:t>
      </w:r>
      <w:r>
        <w:rPr>
          <w:rFonts w:hint="eastAsia" w:ascii="宋体" w:hAnsi="宋体"/>
          <w:color w:val="auto"/>
          <w:sz w:val="22"/>
          <w:highlight w:val="none"/>
          <w:lang w:val="en-US" w:eastAsia="zh-CN"/>
        </w:rPr>
        <w:t xml:space="preserve">   </w:t>
      </w:r>
      <w:r>
        <w:rPr>
          <w:rFonts w:hint="eastAsia" w:ascii="宋体" w:hAnsi="宋体"/>
          <w:color w:val="auto"/>
          <w:sz w:val="22"/>
          <w:highlight w:val="none"/>
        </w:rPr>
        <w:t>）。</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A.成本形成阶段</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B.物流服务功能</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C.物流成本项目</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D.物流基本作业</w:t>
      </w:r>
    </w:p>
    <w:p>
      <w:pPr>
        <w:pStyle w:val="13"/>
        <w:spacing w:line="400" w:lineRule="exact"/>
        <w:ind w:firstLine="440"/>
        <w:rPr>
          <w:rFonts w:ascii="宋体" w:hAnsi="宋体"/>
          <w:color w:val="auto"/>
          <w:sz w:val="22"/>
          <w:highlight w:val="none"/>
        </w:rPr>
      </w:pPr>
    </w:p>
    <w:bookmarkEnd w:id="14"/>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lang w:val="en-US" w:eastAsia="zh-CN"/>
        </w:rPr>
        <w:t>57.</w:t>
      </w:r>
      <w:r>
        <w:rPr>
          <w:rFonts w:hint="eastAsia" w:ascii="宋体" w:hAnsi="宋体"/>
          <w:color w:val="auto"/>
          <w:sz w:val="22"/>
          <w:highlight w:val="none"/>
        </w:rPr>
        <w:t>对于间接物流成本，可以根据资源耗用的因果关系，利用作业成本法进行成本核算：根据作业活动耗用资源的情况，将资源耗费分配给各项作业活动；再依照成本对象消耗作业中资源的情况，把作业成本分配给成本对象，从而计算出成本。作业成本法主要计算步骤包括（</w:t>
      </w:r>
      <w:r>
        <w:rPr>
          <w:rFonts w:hint="eastAsia" w:ascii="宋体" w:hAnsi="宋体"/>
          <w:color w:val="auto"/>
          <w:sz w:val="22"/>
          <w:highlight w:val="none"/>
          <w:lang w:val="en-US" w:eastAsia="zh-CN"/>
        </w:rPr>
        <w:t xml:space="preserve">   </w:t>
      </w:r>
      <w:r>
        <w:rPr>
          <w:rFonts w:hint="eastAsia" w:ascii="宋体" w:hAnsi="宋体"/>
          <w:color w:val="auto"/>
          <w:sz w:val="22"/>
          <w:highlight w:val="none"/>
        </w:rPr>
        <w:t>）。</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A.确定作业内容</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B.确定资源成本库</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C.确定作业动因</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D.计算作业成本</w:t>
      </w:r>
    </w:p>
    <w:p>
      <w:pPr>
        <w:pStyle w:val="13"/>
        <w:spacing w:line="400" w:lineRule="exact"/>
        <w:ind w:firstLine="440"/>
        <w:rPr>
          <w:rFonts w:hint="eastAsia" w:ascii="宋体" w:hAnsi="宋体"/>
          <w:color w:val="auto"/>
          <w:sz w:val="22"/>
          <w:highlight w:val="none"/>
        </w:rPr>
      </w:pP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5</w:t>
      </w:r>
      <w:r>
        <w:rPr>
          <w:rFonts w:ascii="宋体" w:hAnsi="宋体"/>
          <w:color w:val="auto"/>
          <w:sz w:val="22"/>
          <w:highlight w:val="none"/>
        </w:rPr>
        <w:t>8</w:t>
      </w:r>
      <w:r>
        <w:rPr>
          <w:rFonts w:hint="eastAsia" w:ascii="宋体" w:hAnsi="宋体"/>
          <w:color w:val="auto"/>
          <w:sz w:val="22"/>
          <w:highlight w:val="none"/>
        </w:rPr>
        <w:t xml:space="preserve">.仓储绩效考核中的能力与质量指标包括（ </w:t>
      </w:r>
      <w:r>
        <w:rPr>
          <w:rFonts w:ascii="宋体" w:hAnsi="宋体"/>
          <w:color w:val="auto"/>
          <w:sz w:val="22"/>
          <w:highlight w:val="none"/>
        </w:rPr>
        <w:t xml:space="preserve">  </w:t>
      </w:r>
      <w:r>
        <w:rPr>
          <w:rFonts w:hint="eastAsia" w:ascii="宋体" w:hAnsi="宋体"/>
          <w:color w:val="auto"/>
          <w:sz w:val="22"/>
          <w:highlight w:val="none"/>
        </w:rPr>
        <w:t xml:space="preserve"> ）。</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A</w:t>
      </w:r>
      <w:r>
        <w:rPr>
          <w:rFonts w:ascii="宋体" w:hAnsi="宋体"/>
          <w:color w:val="auto"/>
          <w:sz w:val="22"/>
          <w:highlight w:val="none"/>
        </w:rPr>
        <w:t>.</w:t>
      </w:r>
      <w:r>
        <w:rPr>
          <w:rFonts w:hint="eastAsia" w:ascii="宋体" w:hAnsi="宋体"/>
          <w:color w:val="auto"/>
          <w:sz w:val="22"/>
          <w:highlight w:val="none"/>
        </w:rPr>
        <w:t xml:space="preserve">货物吞吐量 </w:t>
      </w:r>
      <w:r>
        <w:rPr>
          <w:rFonts w:ascii="宋体" w:hAnsi="宋体"/>
          <w:color w:val="auto"/>
          <w:sz w:val="22"/>
          <w:highlight w:val="none"/>
        </w:rPr>
        <w:t xml:space="preserve">   </w:t>
      </w:r>
      <w:r>
        <w:rPr>
          <w:rFonts w:hint="eastAsia" w:ascii="宋体" w:hAnsi="宋体"/>
          <w:color w:val="auto"/>
          <w:sz w:val="22"/>
          <w:highlight w:val="none"/>
        </w:rPr>
        <w:t xml:space="preserve"> </w:t>
      </w:r>
      <w:r>
        <w:rPr>
          <w:rFonts w:ascii="宋体" w:hAnsi="宋体"/>
          <w:color w:val="auto"/>
          <w:sz w:val="22"/>
          <w:highlight w:val="none"/>
        </w:rPr>
        <w:t xml:space="preserve">     </w:t>
      </w:r>
      <w:r>
        <w:rPr>
          <w:rFonts w:hint="eastAsia" w:ascii="宋体" w:hAnsi="宋体"/>
          <w:color w:val="auto"/>
          <w:sz w:val="22"/>
          <w:highlight w:val="none"/>
        </w:rPr>
        <w:t xml:space="preserve"> </w:t>
      </w:r>
      <w:r>
        <w:rPr>
          <w:rFonts w:ascii="宋体" w:hAnsi="宋体"/>
          <w:color w:val="auto"/>
          <w:sz w:val="22"/>
          <w:highlight w:val="none"/>
        </w:rPr>
        <w:t xml:space="preserve">              B.</w:t>
      </w:r>
      <w:r>
        <w:rPr>
          <w:rFonts w:hint="eastAsia" w:ascii="宋体" w:hAnsi="宋体"/>
          <w:color w:val="auto"/>
          <w:sz w:val="22"/>
          <w:highlight w:val="none"/>
        </w:rPr>
        <w:t>账货相符率</w:t>
      </w:r>
    </w:p>
    <w:p>
      <w:pPr>
        <w:pStyle w:val="13"/>
        <w:spacing w:line="400" w:lineRule="exact"/>
        <w:ind w:firstLine="440"/>
        <w:rPr>
          <w:rFonts w:ascii="宋体" w:hAnsi="宋体"/>
          <w:color w:val="auto"/>
          <w:sz w:val="22"/>
          <w:highlight w:val="none"/>
        </w:rPr>
      </w:pPr>
      <w:r>
        <w:rPr>
          <w:rFonts w:ascii="宋体" w:hAnsi="宋体"/>
          <w:color w:val="auto"/>
          <w:sz w:val="22"/>
          <w:highlight w:val="none"/>
        </w:rPr>
        <w:t>C.</w:t>
      </w:r>
      <w:r>
        <w:rPr>
          <w:rFonts w:hint="eastAsia" w:ascii="宋体" w:hAnsi="宋体"/>
          <w:color w:val="auto"/>
          <w:sz w:val="22"/>
          <w:highlight w:val="none"/>
        </w:rPr>
        <w:t>进、发货准确率</w:t>
      </w:r>
      <w:r>
        <w:rPr>
          <w:rFonts w:ascii="宋体" w:hAnsi="宋体"/>
          <w:color w:val="auto"/>
          <w:sz w:val="22"/>
          <w:highlight w:val="none"/>
        </w:rPr>
        <w:t xml:space="preserve">      </w:t>
      </w:r>
      <w:r>
        <w:rPr>
          <w:rFonts w:hint="eastAsia" w:ascii="宋体" w:hAnsi="宋体"/>
          <w:color w:val="auto"/>
          <w:sz w:val="22"/>
          <w:highlight w:val="none"/>
        </w:rPr>
        <w:t xml:space="preserve"> </w:t>
      </w:r>
      <w:r>
        <w:rPr>
          <w:rFonts w:ascii="宋体" w:hAnsi="宋体"/>
          <w:color w:val="auto"/>
          <w:sz w:val="22"/>
          <w:highlight w:val="none"/>
        </w:rPr>
        <w:t xml:space="preserve">              D.</w:t>
      </w:r>
      <w:r>
        <w:rPr>
          <w:rFonts w:hint="eastAsia" w:ascii="宋体" w:hAnsi="宋体"/>
          <w:color w:val="auto"/>
          <w:sz w:val="22"/>
          <w:highlight w:val="none"/>
        </w:rPr>
        <w:t>商品缺损率</w:t>
      </w:r>
    </w:p>
    <w:p>
      <w:pPr>
        <w:pStyle w:val="13"/>
        <w:spacing w:line="400" w:lineRule="exact"/>
        <w:ind w:firstLine="440"/>
        <w:rPr>
          <w:rFonts w:ascii="宋体" w:hAnsi="宋体"/>
          <w:color w:val="auto"/>
          <w:sz w:val="22"/>
          <w:highlight w:val="none"/>
        </w:rPr>
      </w:pP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59</w:t>
      </w:r>
      <w:bookmarkStart w:id="16" w:name="_Hlk89448674"/>
      <w:r>
        <w:rPr>
          <w:rFonts w:hint="eastAsia" w:ascii="宋体" w:hAnsi="宋体"/>
          <w:color w:val="auto"/>
          <w:sz w:val="22"/>
          <w:highlight w:val="none"/>
          <w:lang w:eastAsia="zh-CN"/>
        </w:rPr>
        <w:t>.</w:t>
      </w:r>
      <w:r>
        <w:rPr>
          <w:rFonts w:hint="eastAsia" w:ascii="宋体" w:hAnsi="宋体"/>
          <w:color w:val="auto"/>
          <w:sz w:val="22"/>
          <w:highlight w:val="none"/>
        </w:rPr>
        <w:t>对于类似汽车物流等较为复杂，且涉及多个主体的复杂流程图，常见的处理技巧包括（</w:t>
      </w:r>
      <w:r>
        <w:rPr>
          <w:rFonts w:hint="eastAsia" w:ascii="宋体" w:hAnsi="宋体"/>
          <w:color w:val="auto"/>
          <w:sz w:val="22"/>
          <w:highlight w:val="none"/>
          <w:lang w:val="en-US" w:eastAsia="zh-CN"/>
        </w:rPr>
        <w:t xml:space="preserve">   </w:t>
      </w:r>
      <w:r>
        <w:rPr>
          <w:rFonts w:hint="eastAsia" w:ascii="宋体" w:hAnsi="宋体"/>
          <w:color w:val="auto"/>
          <w:sz w:val="22"/>
          <w:highlight w:val="none"/>
        </w:rPr>
        <w:t>）。</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A.建立总体运行过程</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B.建立相对独立的子业务流程</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C.建立为其服务的辅助业务流程</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D.运用子流程和泳道图表达</w:t>
      </w:r>
    </w:p>
    <w:bookmarkEnd w:id="16"/>
    <w:p>
      <w:pPr>
        <w:pStyle w:val="13"/>
        <w:spacing w:line="400" w:lineRule="exact"/>
        <w:ind w:left="0" w:leftChars="0" w:firstLine="0" w:firstLineChars="0"/>
        <w:rPr>
          <w:rFonts w:ascii="宋体" w:hAnsi="宋体"/>
          <w:color w:val="auto"/>
          <w:sz w:val="22"/>
          <w:highlight w:val="none"/>
        </w:rPr>
      </w:pP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6</w:t>
      </w:r>
      <w:r>
        <w:rPr>
          <w:rFonts w:ascii="宋体" w:hAnsi="宋体"/>
          <w:color w:val="auto"/>
          <w:sz w:val="22"/>
          <w:highlight w:val="none"/>
        </w:rPr>
        <w:t>0</w:t>
      </w:r>
      <w:r>
        <w:rPr>
          <w:rFonts w:hint="eastAsia" w:ascii="宋体" w:hAnsi="宋体"/>
          <w:color w:val="auto"/>
          <w:sz w:val="22"/>
          <w:highlight w:val="none"/>
        </w:rPr>
        <w:t>.无人仓的区域布局中可能设置的区域包括（</w:t>
      </w:r>
      <w:r>
        <w:rPr>
          <w:rFonts w:ascii="宋体" w:hAnsi="宋体"/>
          <w:color w:val="auto"/>
          <w:sz w:val="22"/>
          <w:highlight w:val="none"/>
        </w:rPr>
        <w:t xml:space="preserve">  </w:t>
      </w:r>
      <w:r>
        <w:rPr>
          <w:rFonts w:hint="eastAsia" w:ascii="宋体" w:hAnsi="宋体"/>
          <w:color w:val="auto"/>
          <w:sz w:val="22"/>
          <w:highlight w:val="none"/>
        </w:rPr>
        <w:t xml:space="preserve">    ）。</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A</w:t>
      </w:r>
      <w:r>
        <w:rPr>
          <w:rFonts w:ascii="宋体" w:hAnsi="宋体"/>
          <w:color w:val="auto"/>
          <w:sz w:val="22"/>
          <w:highlight w:val="none"/>
        </w:rPr>
        <w:t>.</w:t>
      </w:r>
      <w:r>
        <w:rPr>
          <w:rFonts w:hint="eastAsia" w:ascii="宋体" w:hAnsi="宋体"/>
          <w:color w:val="auto"/>
          <w:sz w:val="22"/>
          <w:highlight w:val="none"/>
        </w:rPr>
        <w:t>收货区</w:t>
      </w:r>
      <w:r>
        <w:rPr>
          <w:rFonts w:ascii="宋体" w:hAnsi="宋体"/>
          <w:color w:val="auto"/>
          <w:sz w:val="22"/>
          <w:highlight w:val="none"/>
        </w:rPr>
        <w:t xml:space="preserve">          B.</w:t>
      </w:r>
      <w:r>
        <w:rPr>
          <w:rFonts w:hint="eastAsia" w:ascii="宋体" w:hAnsi="宋体"/>
          <w:color w:val="auto"/>
          <w:sz w:val="22"/>
          <w:highlight w:val="none"/>
        </w:rPr>
        <w:t>收货缓存区</w:t>
      </w:r>
      <w:r>
        <w:rPr>
          <w:rFonts w:ascii="宋体" w:hAnsi="宋体"/>
          <w:color w:val="auto"/>
          <w:sz w:val="22"/>
          <w:highlight w:val="none"/>
        </w:rPr>
        <w:t xml:space="preserve">      </w:t>
      </w:r>
      <w:r>
        <w:rPr>
          <w:rFonts w:ascii="宋体" w:hAnsi="宋体"/>
          <w:color w:val="auto"/>
          <w:sz w:val="22"/>
          <w:highlight w:val="none"/>
        </w:rPr>
        <w:tab/>
      </w:r>
      <w:r>
        <w:rPr>
          <w:rFonts w:ascii="宋体" w:hAnsi="宋体"/>
          <w:color w:val="auto"/>
          <w:sz w:val="22"/>
          <w:highlight w:val="none"/>
        </w:rPr>
        <w:t>C.</w:t>
      </w:r>
      <w:r>
        <w:rPr>
          <w:rFonts w:hint="eastAsia" w:ascii="宋体" w:hAnsi="宋体"/>
          <w:color w:val="auto"/>
          <w:sz w:val="22"/>
          <w:highlight w:val="none"/>
        </w:rPr>
        <w:t>包裹分拣区</w:t>
      </w:r>
      <w:r>
        <w:rPr>
          <w:rFonts w:ascii="宋体" w:hAnsi="宋体"/>
          <w:color w:val="auto"/>
          <w:sz w:val="22"/>
          <w:highlight w:val="none"/>
        </w:rPr>
        <w:t xml:space="preserve">         D.</w:t>
      </w:r>
      <w:r>
        <w:rPr>
          <w:rFonts w:hint="eastAsia" w:ascii="宋体" w:hAnsi="宋体"/>
          <w:color w:val="auto"/>
          <w:sz w:val="22"/>
          <w:highlight w:val="none"/>
        </w:rPr>
        <w:t>发货缓存区</w:t>
      </w:r>
    </w:p>
    <w:p>
      <w:pPr>
        <w:pStyle w:val="13"/>
        <w:spacing w:line="400" w:lineRule="exact"/>
        <w:ind w:firstLine="440"/>
        <w:rPr>
          <w:rFonts w:ascii="宋体" w:hAnsi="宋体"/>
          <w:color w:val="auto"/>
          <w:sz w:val="22"/>
          <w:highlight w:val="none"/>
        </w:rPr>
      </w:pPr>
    </w:p>
    <w:p>
      <w:pPr>
        <w:spacing w:line="400" w:lineRule="exact"/>
        <w:rPr>
          <w:rFonts w:ascii="宋体" w:hAnsi="宋体"/>
          <w:b/>
          <w:color w:val="auto"/>
          <w:sz w:val="22"/>
          <w:highlight w:val="none"/>
        </w:rPr>
      </w:pPr>
      <w:r>
        <w:rPr>
          <w:rFonts w:hint="eastAsia" w:ascii="宋体" w:hAnsi="宋体"/>
          <w:b/>
          <w:color w:val="auto"/>
          <w:sz w:val="22"/>
          <w:highlight w:val="none"/>
        </w:rPr>
        <w:t>三、判断选择题（本大题共20小题，每小题1分，共20分）</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 xml:space="preserve">61.职业道德的内容与职业实践活动相互独立，要鲜明地表达职业义务、职业责任以及职业行为上的准则，反映着特定职业活动对从业人员行为的道德要求。 </w:t>
      </w:r>
    </w:p>
    <w:p>
      <w:pPr>
        <w:pStyle w:val="13"/>
        <w:spacing w:line="400" w:lineRule="exact"/>
        <w:ind w:firstLine="440"/>
        <w:rPr>
          <w:rFonts w:ascii="宋体" w:hAnsi="宋体"/>
          <w:color w:val="auto"/>
          <w:sz w:val="22"/>
          <w:highlight w:val="none"/>
        </w:rPr>
      </w:pPr>
      <w:r>
        <w:rPr>
          <w:rFonts w:ascii="宋体" w:hAnsi="宋体"/>
          <w:color w:val="auto"/>
          <w:sz w:val="22"/>
          <w:highlight w:val="none"/>
        </w:rPr>
        <w:t>A.</w:t>
      </w:r>
      <w:r>
        <w:rPr>
          <w:rFonts w:hint="eastAsia" w:ascii="宋体" w:hAnsi="宋体"/>
          <w:color w:val="auto"/>
          <w:sz w:val="22"/>
          <w:highlight w:val="none"/>
        </w:rPr>
        <w:t>正确</w:t>
      </w:r>
      <w:r>
        <w:rPr>
          <w:rFonts w:ascii="宋体" w:hAnsi="宋体"/>
          <w:color w:val="auto"/>
          <w:sz w:val="22"/>
          <w:highlight w:val="none"/>
        </w:rPr>
        <w:t xml:space="preserve">   </w:t>
      </w:r>
      <w:r>
        <w:rPr>
          <w:rFonts w:hint="eastAsia" w:ascii="宋体" w:hAnsi="宋体"/>
          <w:color w:val="auto"/>
          <w:sz w:val="22"/>
          <w:highlight w:val="none"/>
        </w:rPr>
        <w:t xml:space="preserve">       </w:t>
      </w:r>
      <w:r>
        <w:rPr>
          <w:rFonts w:hint="eastAsia" w:ascii="宋体" w:hAnsi="宋体"/>
          <w:color w:val="auto"/>
          <w:sz w:val="22"/>
          <w:highlight w:val="none"/>
        </w:rPr>
        <w:t xml:space="preserve">  </w:t>
      </w:r>
      <w:r>
        <w:rPr>
          <w:rFonts w:ascii="宋体" w:hAnsi="宋体"/>
          <w:color w:val="auto"/>
          <w:sz w:val="22"/>
          <w:highlight w:val="none"/>
        </w:rPr>
        <w:t>B.</w:t>
      </w:r>
      <w:r>
        <w:rPr>
          <w:rFonts w:hint="eastAsia" w:ascii="宋体" w:hAnsi="宋体"/>
          <w:color w:val="auto"/>
          <w:sz w:val="22"/>
          <w:highlight w:val="none"/>
        </w:rPr>
        <w:t>错误</w:t>
      </w:r>
    </w:p>
    <w:p>
      <w:pPr>
        <w:pStyle w:val="13"/>
        <w:spacing w:line="400" w:lineRule="exact"/>
        <w:ind w:firstLine="440"/>
        <w:rPr>
          <w:rFonts w:hint="eastAsia" w:ascii="宋体" w:hAnsi="宋体"/>
          <w:color w:val="auto"/>
          <w:sz w:val="22"/>
          <w:highlight w:val="none"/>
        </w:rPr>
      </w:pPr>
    </w:p>
    <w:p>
      <w:pPr>
        <w:pStyle w:val="13"/>
        <w:spacing w:line="400" w:lineRule="exact"/>
        <w:ind w:firstLine="440"/>
        <w:rPr>
          <w:rFonts w:hint="eastAsia" w:ascii="宋体" w:hAnsi="宋体"/>
          <w:color w:val="auto"/>
          <w:sz w:val="22"/>
          <w:highlight w:val="none"/>
        </w:rPr>
      </w:pPr>
      <w:bookmarkStart w:id="17" w:name="_Hlk89429796"/>
      <w:r>
        <w:rPr>
          <w:rFonts w:hint="eastAsia" w:ascii="宋体" w:hAnsi="宋体"/>
          <w:color w:val="auto"/>
          <w:sz w:val="22"/>
          <w:highlight w:val="none"/>
          <w:lang w:val="en-US" w:eastAsia="zh-CN"/>
        </w:rPr>
        <w:t>62.</w:t>
      </w:r>
      <w:r>
        <w:rPr>
          <w:rFonts w:hint="eastAsia" w:ascii="宋体" w:hAnsi="宋体"/>
          <w:color w:val="auto"/>
          <w:sz w:val="22"/>
          <w:highlight w:val="none"/>
        </w:rPr>
        <w:t>忠诚是指对某个公司或者某个人的忠诚。</w:t>
      </w:r>
    </w:p>
    <w:bookmarkEnd w:id="17"/>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A.对</w:t>
      </w:r>
    </w:p>
    <w:p>
      <w:pPr>
        <w:pStyle w:val="13"/>
        <w:spacing w:line="400" w:lineRule="exact"/>
        <w:ind w:firstLine="440"/>
        <w:rPr>
          <w:rFonts w:ascii="宋体" w:hAnsi="宋体" w:eastAsia="宋体"/>
          <w:color w:val="auto"/>
          <w:sz w:val="22"/>
          <w:highlight w:val="none"/>
        </w:rPr>
      </w:pPr>
      <w:r>
        <w:rPr>
          <w:rFonts w:hint="eastAsia" w:ascii="宋体" w:hAnsi="宋体"/>
          <w:color w:val="auto"/>
          <w:sz w:val="22"/>
          <w:highlight w:val="none"/>
        </w:rPr>
        <w:t>B.错</w:t>
      </w:r>
    </w:p>
    <w:p>
      <w:pPr>
        <w:pStyle w:val="13"/>
        <w:spacing w:line="400" w:lineRule="exact"/>
        <w:ind w:firstLine="440"/>
        <w:rPr>
          <w:rFonts w:ascii="宋体" w:hAnsi="宋体"/>
          <w:color w:val="auto"/>
          <w:sz w:val="22"/>
          <w:highlight w:val="none"/>
        </w:rPr>
      </w:pP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lang w:val="en-US" w:eastAsia="zh-CN"/>
        </w:rPr>
        <w:t>63.</w:t>
      </w:r>
      <w:r>
        <w:rPr>
          <w:rFonts w:hint="eastAsia" w:ascii="宋体" w:hAnsi="宋体"/>
          <w:color w:val="auto"/>
          <w:sz w:val="22"/>
          <w:highlight w:val="none"/>
        </w:rPr>
        <w:t>在预防辐射时，对眼睛的防护可采用防微波护目镜，对头部、躯干的防护可用含铅丝或涂银布料制成的防护衣帽。</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A.对</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B.错</w:t>
      </w:r>
    </w:p>
    <w:p>
      <w:pPr>
        <w:pStyle w:val="13"/>
        <w:spacing w:line="400" w:lineRule="exact"/>
        <w:ind w:left="0" w:leftChars="0" w:firstLine="0" w:firstLineChars="0"/>
        <w:rPr>
          <w:rFonts w:ascii="宋体" w:hAnsi="宋体"/>
          <w:color w:val="auto"/>
          <w:sz w:val="22"/>
          <w:highlight w:val="none"/>
        </w:rPr>
      </w:pP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64.安全标志是由安全色、几何图形和图形符号所构成，用以表达特定的安全信息。</w:t>
      </w:r>
    </w:p>
    <w:p>
      <w:pPr>
        <w:pStyle w:val="13"/>
        <w:spacing w:line="400" w:lineRule="exact"/>
        <w:ind w:firstLine="440"/>
        <w:rPr>
          <w:rFonts w:ascii="宋体" w:hAnsi="宋体"/>
          <w:color w:val="auto"/>
          <w:sz w:val="22"/>
          <w:highlight w:val="none"/>
        </w:rPr>
      </w:pPr>
      <w:r>
        <w:rPr>
          <w:rFonts w:ascii="宋体" w:hAnsi="宋体"/>
          <w:color w:val="auto"/>
          <w:sz w:val="22"/>
          <w:highlight w:val="none"/>
        </w:rPr>
        <w:t>A.</w:t>
      </w:r>
      <w:r>
        <w:rPr>
          <w:rFonts w:hint="eastAsia" w:ascii="宋体" w:hAnsi="宋体"/>
          <w:color w:val="auto"/>
          <w:sz w:val="22"/>
          <w:highlight w:val="none"/>
        </w:rPr>
        <w:t>正确</w:t>
      </w:r>
      <w:r>
        <w:rPr>
          <w:rFonts w:ascii="宋体" w:hAnsi="宋体"/>
          <w:color w:val="auto"/>
          <w:sz w:val="22"/>
          <w:highlight w:val="none"/>
        </w:rPr>
        <w:t xml:space="preserve">   </w:t>
      </w:r>
      <w:r>
        <w:rPr>
          <w:rFonts w:hint="eastAsia" w:ascii="宋体" w:hAnsi="宋体"/>
          <w:color w:val="auto"/>
          <w:sz w:val="22"/>
          <w:highlight w:val="none"/>
        </w:rPr>
        <w:t xml:space="preserve">         </w:t>
      </w:r>
      <w:r>
        <w:rPr>
          <w:rFonts w:ascii="宋体" w:hAnsi="宋体"/>
          <w:color w:val="auto"/>
          <w:sz w:val="22"/>
          <w:highlight w:val="none"/>
        </w:rPr>
        <w:t>B.</w:t>
      </w:r>
      <w:r>
        <w:rPr>
          <w:rFonts w:hint="eastAsia" w:ascii="宋体" w:hAnsi="宋体"/>
          <w:color w:val="auto"/>
          <w:sz w:val="22"/>
          <w:highlight w:val="none"/>
        </w:rPr>
        <w:t xml:space="preserve">错误 </w:t>
      </w:r>
    </w:p>
    <w:p>
      <w:pPr>
        <w:pStyle w:val="13"/>
        <w:spacing w:line="400" w:lineRule="exact"/>
        <w:ind w:firstLine="440"/>
        <w:rPr>
          <w:rFonts w:ascii="宋体" w:hAnsi="宋体"/>
          <w:color w:val="auto"/>
          <w:sz w:val="22"/>
          <w:highlight w:val="none"/>
        </w:rPr>
      </w:pP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65.供应链由所有加盟的节点企业组成，其中一般有一个核心企业。</w:t>
      </w:r>
    </w:p>
    <w:p>
      <w:pPr>
        <w:pStyle w:val="13"/>
        <w:spacing w:line="400" w:lineRule="exact"/>
        <w:ind w:firstLine="440"/>
        <w:rPr>
          <w:rFonts w:ascii="宋体" w:hAnsi="宋体"/>
          <w:color w:val="auto"/>
          <w:sz w:val="22"/>
          <w:highlight w:val="none"/>
        </w:rPr>
      </w:pPr>
      <w:r>
        <w:rPr>
          <w:rFonts w:ascii="宋体" w:hAnsi="宋体"/>
          <w:color w:val="auto"/>
          <w:sz w:val="22"/>
          <w:highlight w:val="none"/>
        </w:rPr>
        <w:t>A.</w:t>
      </w:r>
      <w:r>
        <w:rPr>
          <w:rFonts w:hint="eastAsia" w:ascii="宋体" w:hAnsi="宋体"/>
          <w:color w:val="auto"/>
          <w:sz w:val="22"/>
          <w:highlight w:val="none"/>
        </w:rPr>
        <w:t>正确</w:t>
      </w:r>
      <w:r>
        <w:rPr>
          <w:rFonts w:ascii="宋体" w:hAnsi="宋体"/>
          <w:color w:val="auto"/>
          <w:sz w:val="22"/>
          <w:highlight w:val="none"/>
        </w:rPr>
        <w:t xml:space="preserve">  </w:t>
      </w:r>
      <w:r>
        <w:rPr>
          <w:rFonts w:ascii="宋体" w:hAnsi="宋体"/>
          <w:color w:val="auto"/>
          <w:sz w:val="22"/>
          <w:highlight w:val="none"/>
        </w:rPr>
        <w:t xml:space="preserve"> </w:t>
      </w:r>
      <w:r>
        <w:rPr>
          <w:rFonts w:hint="eastAsia" w:ascii="宋体" w:hAnsi="宋体"/>
          <w:color w:val="auto"/>
          <w:sz w:val="22"/>
          <w:highlight w:val="none"/>
        </w:rPr>
        <w:t xml:space="preserve">         </w:t>
      </w:r>
      <w:r>
        <w:rPr>
          <w:rFonts w:ascii="宋体" w:hAnsi="宋体"/>
          <w:color w:val="auto"/>
          <w:sz w:val="22"/>
          <w:highlight w:val="none"/>
        </w:rPr>
        <w:t>B.</w:t>
      </w:r>
      <w:r>
        <w:rPr>
          <w:rFonts w:hint="eastAsia" w:ascii="宋体" w:hAnsi="宋体"/>
          <w:color w:val="auto"/>
          <w:sz w:val="22"/>
          <w:highlight w:val="none"/>
        </w:rPr>
        <w:t xml:space="preserve">错误  </w:t>
      </w:r>
    </w:p>
    <w:p>
      <w:pPr>
        <w:pStyle w:val="13"/>
        <w:spacing w:line="400" w:lineRule="exact"/>
        <w:ind w:firstLine="440"/>
        <w:rPr>
          <w:rFonts w:ascii="宋体" w:hAnsi="宋体"/>
          <w:color w:val="auto"/>
          <w:sz w:val="22"/>
          <w:highlight w:val="none"/>
        </w:rPr>
      </w:pP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66.反应性供应链战略适用于功能性产品。</w:t>
      </w:r>
    </w:p>
    <w:p>
      <w:pPr>
        <w:pStyle w:val="13"/>
        <w:spacing w:line="400" w:lineRule="exact"/>
        <w:ind w:firstLine="440"/>
        <w:rPr>
          <w:rFonts w:ascii="宋体" w:hAnsi="宋体"/>
          <w:color w:val="auto"/>
          <w:sz w:val="22"/>
          <w:highlight w:val="none"/>
        </w:rPr>
      </w:pPr>
      <w:r>
        <w:rPr>
          <w:rFonts w:ascii="宋体" w:hAnsi="宋体"/>
          <w:color w:val="auto"/>
          <w:sz w:val="22"/>
          <w:highlight w:val="none"/>
        </w:rPr>
        <w:t>A.</w:t>
      </w:r>
      <w:r>
        <w:rPr>
          <w:rFonts w:hint="eastAsia" w:ascii="宋体" w:hAnsi="宋体"/>
          <w:color w:val="auto"/>
          <w:sz w:val="22"/>
          <w:highlight w:val="none"/>
        </w:rPr>
        <w:t>正确</w:t>
      </w:r>
      <w:r>
        <w:rPr>
          <w:rFonts w:ascii="宋体" w:hAnsi="宋体"/>
          <w:color w:val="auto"/>
          <w:sz w:val="22"/>
          <w:highlight w:val="none"/>
        </w:rPr>
        <w:t xml:space="preserve">   </w:t>
      </w:r>
      <w:r>
        <w:rPr>
          <w:rFonts w:hint="eastAsia" w:ascii="宋体" w:hAnsi="宋体"/>
          <w:color w:val="auto"/>
          <w:sz w:val="22"/>
          <w:highlight w:val="none"/>
        </w:rPr>
        <w:t xml:space="preserve">       </w:t>
      </w:r>
      <w:r>
        <w:rPr>
          <w:rFonts w:hint="eastAsia" w:ascii="宋体" w:hAnsi="宋体"/>
          <w:color w:val="auto"/>
          <w:sz w:val="22"/>
          <w:highlight w:val="none"/>
        </w:rPr>
        <w:t xml:space="preserve">  </w:t>
      </w:r>
      <w:r>
        <w:rPr>
          <w:rFonts w:ascii="宋体" w:hAnsi="宋体"/>
          <w:color w:val="auto"/>
          <w:sz w:val="22"/>
          <w:highlight w:val="none"/>
        </w:rPr>
        <w:t>B.</w:t>
      </w:r>
      <w:r>
        <w:rPr>
          <w:rFonts w:hint="eastAsia" w:ascii="宋体" w:hAnsi="宋体"/>
          <w:color w:val="auto"/>
          <w:sz w:val="22"/>
          <w:highlight w:val="none"/>
        </w:rPr>
        <w:t xml:space="preserve">错误  </w:t>
      </w:r>
    </w:p>
    <w:p>
      <w:pPr>
        <w:pStyle w:val="13"/>
        <w:spacing w:line="400" w:lineRule="exact"/>
        <w:ind w:firstLine="440"/>
        <w:rPr>
          <w:rFonts w:ascii="宋体" w:hAnsi="宋体"/>
          <w:color w:val="auto"/>
          <w:sz w:val="22"/>
          <w:highlight w:val="none"/>
        </w:rPr>
      </w:pPr>
    </w:p>
    <w:p>
      <w:pPr>
        <w:pStyle w:val="13"/>
        <w:spacing w:line="400" w:lineRule="exact"/>
        <w:ind w:firstLine="440"/>
        <w:rPr>
          <w:rFonts w:hint="eastAsia" w:ascii="宋体" w:hAnsi="宋体"/>
          <w:color w:val="auto"/>
          <w:sz w:val="22"/>
          <w:highlight w:val="none"/>
        </w:rPr>
      </w:pPr>
      <w:bookmarkStart w:id="18" w:name="_Hlk89429869"/>
      <w:r>
        <w:rPr>
          <w:rFonts w:hint="eastAsia" w:ascii="宋体" w:hAnsi="宋体"/>
          <w:color w:val="auto"/>
          <w:sz w:val="22"/>
          <w:highlight w:val="none"/>
          <w:lang w:val="en-US" w:eastAsia="zh-CN"/>
        </w:rPr>
        <w:t>67.</w:t>
      </w:r>
      <w:r>
        <w:rPr>
          <w:rFonts w:hint="eastAsia" w:ascii="宋体" w:hAnsi="宋体"/>
          <w:color w:val="auto"/>
          <w:sz w:val="22"/>
          <w:highlight w:val="none"/>
        </w:rPr>
        <w:t>事业部制组织结构是一种高度集</w:t>
      </w:r>
      <w:bookmarkEnd w:id="18"/>
      <w:r>
        <w:rPr>
          <w:rFonts w:hint="eastAsia" w:ascii="宋体" w:hAnsi="宋体"/>
          <w:color w:val="auto"/>
          <w:sz w:val="22"/>
          <w:highlight w:val="none"/>
        </w:rPr>
        <w:t>权下的集权管理体制。</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A.对</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B.错</w:t>
      </w:r>
    </w:p>
    <w:p>
      <w:pPr>
        <w:pStyle w:val="13"/>
        <w:spacing w:line="400" w:lineRule="exact"/>
        <w:ind w:firstLine="440"/>
        <w:rPr>
          <w:rFonts w:hint="eastAsia" w:ascii="宋体" w:hAnsi="宋体"/>
          <w:color w:val="auto"/>
          <w:sz w:val="22"/>
          <w:highlight w:val="none"/>
        </w:rPr>
      </w:pP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6</w:t>
      </w:r>
      <w:r>
        <w:rPr>
          <w:rFonts w:ascii="宋体" w:hAnsi="宋体"/>
          <w:color w:val="auto"/>
          <w:sz w:val="22"/>
          <w:highlight w:val="none"/>
        </w:rPr>
        <w:t>8</w:t>
      </w:r>
      <w:r>
        <w:rPr>
          <w:rFonts w:hint="eastAsia" w:ascii="宋体" w:hAnsi="宋体"/>
          <w:color w:val="auto"/>
          <w:sz w:val="22"/>
          <w:highlight w:val="none"/>
        </w:rPr>
        <w:t xml:space="preserve">.A物流公司员工小张在准备投标文书时，发现公司不具备招标企业要求的资质。为了完成公司任务，小张虚构部分资质后向招标企业提交了投标文书。 </w:t>
      </w:r>
    </w:p>
    <w:p>
      <w:pPr>
        <w:pStyle w:val="13"/>
        <w:spacing w:line="400" w:lineRule="exact"/>
        <w:ind w:firstLine="440"/>
        <w:rPr>
          <w:rFonts w:ascii="宋体" w:hAnsi="宋体"/>
          <w:color w:val="auto"/>
          <w:sz w:val="22"/>
          <w:highlight w:val="none"/>
        </w:rPr>
      </w:pPr>
      <w:r>
        <w:rPr>
          <w:rFonts w:ascii="宋体" w:hAnsi="宋体"/>
          <w:color w:val="auto"/>
          <w:sz w:val="22"/>
          <w:highlight w:val="none"/>
        </w:rPr>
        <w:t>A.</w:t>
      </w:r>
      <w:r>
        <w:rPr>
          <w:rFonts w:hint="eastAsia" w:ascii="宋体" w:hAnsi="宋体"/>
          <w:color w:val="auto"/>
          <w:sz w:val="22"/>
          <w:highlight w:val="none"/>
        </w:rPr>
        <w:t>正确</w:t>
      </w:r>
      <w:r>
        <w:rPr>
          <w:rFonts w:ascii="宋体" w:hAnsi="宋体"/>
          <w:color w:val="auto"/>
          <w:sz w:val="22"/>
          <w:highlight w:val="none"/>
        </w:rPr>
        <w:t xml:space="preserve">   </w:t>
      </w:r>
      <w:r>
        <w:rPr>
          <w:rFonts w:hint="eastAsia" w:ascii="宋体" w:hAnsi="宋体"/>
          <w:color w:val="auto"/>
          <w:sz w:val="22"/>
          <w:highlight w:val="none"/>
        </w:rPr>
        <w:t xml:space="preserve">        </w:t>
      </w:r>
      <w:r>
        <w:rPr>
          <w:rFonts w:hint="eastAsia" w:ascii="宋体" w:hAnsi="宋体"/>
          <w:color w:val="auto"/>
          <w:sz w:val="22"/>
          <w:highlight w:val="none"/>
        </w:rPr>
        <w:t xml:space="preserve"> </w:t>
      </w:r>
      <w:r>
        <w:rPr>
          <w:rFonts w:ascii="宋体" w:hAnsi="宋体"/>
          <w:color w:val="auto"/>
          <w:sz w:val="22"/>
          <w:highlight w:val="none"/>
        </w:rPr>
        <w:t>B.</w:t>
      </w:r>
      <w:r>
        <w:rPr>
          <w:rFonts w:hint="eastAsia" w:ascii="宋体" w:hAnsi="宋体"/>
          <w:color w:val="auto"/>
          <w:sz w:val="22"/>
          <w:highlight w:val="none"/>
        </w:rPr>
        <w:t>错误</w:t>
      </w:r>
    </w:p>
    <w:p>
      <w:pPr>
        <w:pStyle w:val="13"/>
        <w:spacing w:line="400" w:lineRule="exact"/>
        <w:ind w:firstLine="440"/>
        <w:rPr>
          <w:rFonts w:ascii="宋体" w:hAnsi="宋体"/>
          <w:color w:val="auto"/>
          <w:sz w:val="22"/>
          <w:highlight w:val="none"/>
        </w:rPr>
      </w:pP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 xml:space="preserve">69.商业计划书中应包括对企业未来成长与发展的规划。 </w:t>
      </w:r>
    </w:p>
    <w:p>
      <w:pPr>
        <w:pStyle w:val="13"/>
        <w:spacing w:line="400" w:lineRule="exact"/>
        <w:ind w:firstLine="440"/>
        <w:rPr>
          <w:rFonts w:ascii="宋体" w:hAnsi="宋体"/>
          <w:color w:val="auto"/>
          <w:sz w:val="22"/>
          <w:highlight w:val="none"/>
        </w:rPr>
      </w:pPr>
      <w:r>
        <w:rPr>
          <w:rFonts w:ascii="宋体" w:hAnsi="宋体"/>
          <w:color w:val="auto"/>
          <w:sz w:val="22"/>
          <w:highlight w:val="none"/>
        </w:rPr>
        <w:t>A.</w:t>
      </w:r>
      <w:r>
        <w:rPr>
          <w:rFonts w:hint="eastAsia" w:ascii="宋体" w:hAnsi="宋体"/>
          <w:color w:val="auto"/>
          <w:sz w:val="22"/>
          <w:highlight w:val="none"/>
        </w:rPr>
        <w:t>正确</w:t>
      </w:r>
      <w:r>
        <w:rPr>
          <w:rFonts w:ascii="宋体" w:hAnsi="宋体"/>
          <w:color w:val="auto"/>
          <w:sz w:val="22"/>
          <w:highlight w:val="none"/>
        </w:rPr>
        <w:t xml:space="preserve"> </w:t>
      </w:r>
      <w:r>
        <w:rPr>
          <w:rFonts w:ascii="宋体" w:hAnsi="宋体"/>
          <w:color w:val="auto"/>
          <w:sz w:val="22"/>
          <w:highlight w:val="none"/>
        </w:rPr>
        <w:t xml:space="preserve">  </w:t>
      </w:r>
      <w:r>
        <w:rPr>
          <w:rFonts w:hint="eastAsia" w:ascii="宋体" w:hAnsi="宋体"/>
          <w:color w:val="auto"/>
          <w:sz w:val="22"/>
          <w:highlight w:val="none"/>
        </w:rPr>
        <w:t xml:space="preserve">         </w:t>
      </w:r>
      <w:r>
        <w:rPr>
          <w:rFonts w:ascii="宋体" w:hAnsi="宋体"/>
          <w:color w:val="auto"/>
          <w:sz w:val="22"/>
          <w:highlight w:val="none"/>
        </w:rPr>
        <w:t>B.</w:t>
      </w:r>
      <w:r>
        <w:rPr>
          <w:rFonts w:hint="eastAsia" w:ascii="宋体" w:hAnsi="宋体"/>
          <w:color w:val="auto"/>
          <w:sz w:val="22"/>
          <w:highlight w:val="none"/>
        </w:rPr>
        <w:t>错误</w:t>
      </w:r>
    </w:p>
    <w:p>
      <w:pPr>
        <w:pStyle w:val="13"/>
        <w:spacing w:line="400" w:lineRule="exact"/>
        <w:ind w:firstLine="440"/>
        <w:rPr>
          <w:rFonts w:hint="eastAsia" w:ascii="宋体" w:hAnsi="宋体"/>
          <w:color w:val="auto"/>
          <w:sz w:val="22"/>
          <w:highlight w:val="none"/>
        </w:rPr>
      </w:pP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lang w:val="en-US" w:eastAsia="zh-CN"/>
        </w:rPr>
        <w:t>70.</w:t>
      </w:r>
      <w:r>
        <w:rPr>
          <w:rFonts w:hint="eastAsia" w:ascii="宋体" w:hAnsi="宋体"/>
          <w:color w:val="auto"/>
          <w:sz w:val="22"/>
          <w:highlight w:val="none"/>
        </w:rPr>
        <w:t>通过市场调查获取信息是数据采集的唯一方法。</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A.对</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B.错</w:t>
      </w:r>
    </w:p>
    <w:p>
      <w:pPr>
        <w:pStyle w:val="13"/>
        <w:spacing w:line="400" w:lineRule="exact"/>
        <w:ind w:left="0" w:leftChars="0" w:firstLine="0" w:firstLineChars="0"/>
        <w:rPr>
          <w:rFonts w:ascii="宋体" w:hAnsi="宋体"/>
          <w:color w:val="auto"/>
          <w:sz w:val="22"/>
          <w:highlight w:val="none"/>
        </w:rPr>
      </w:pP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7</w:t>
      </w:r>
      <w:r>
        <w:rPr>
          <w:rFonts w:ascii="宋体" w:hAnsi="宋体"/>
          <w:color w:val="auto"/>
          <w:sz w:val="22"/>
          <w:highlight w:val="none"/>
        </w:rPr>
        <w:t>1.</w:t>
      </w:r>
      <w:r>
        <w:rPr>
          <w:rFonts w:hint="eastAsia" w:ascii="宋体" w:hAnsi="宋体"/>
          <w:color w:val="auto"/>
          <w:sz w:val="22"/>
          <w:highlight w:val="none"/>
        </w:rPr>
        <w:t xml:space="preserve"> 账面盘点又称为实地盘点。 </w:t>
      </w:r>
      <w:r>
        <w:rPr>
          <w:rFonts w:ascii="宋体" w:hAnsi="宋体"/>
          <w:color w:val="auto"/>
          <w:sz w:val="22"/>
          <w:highlight w:val="none"/>
        </w:rPr>
        <w:t xml:space="preserve"> </w:t>
      </w:r>
    </w:p>
    <w:p>
      <w:pPr>
        <w:pStyle w:val="13"/>
        <w:spacing w:line="400" w:lineRule="exact"/>
        <w:ind w:firstLine="440"/>
        <w:rPr>
          <w:rFonts w:ascii="宋体" w:hAnsi="宋体"/>
          <w:color w:val="auto"/>
          <w:sz w:val="22"/>
          <w:highlight w:val="none"/>
        </w:rPr>
      </w:pPr>
      <w:r>
        <w:rPr>
          <w:rFonts w:ascii="宋体" w:hAnsi="宋体"/>
          <w:color w:val="auto"/>
          <w:sz w:val="22"/>
          <w:highlight w:val="none"/>
        </w:rPr>
        <w:t>A.</w:t>
      </w:r>
      <w:r>
        <w:rPr>
          <w:rFonts w:hint="eastAsia" w:ascii="宋体" w:hAnsi="宋体"/>
          <w:color w:val="auto"/>
          <w:sz w:val="22"/>
          <w:highlight w:val="none"/>
        </w:rPr>
        <w:t>正确</w:t>
      </w:r>
      <w:r>
        <w:rPr>
          <w:rFonts w:ascii="宋体" w:hAnsi="宋体"/>
          <w:color w:val="auto"/>
          <w:sz w:val="22"/>
          <w:highlight w:val="none"/>
        </w:rPr>
        <w:t xml:space="preserve">   </w:t>
      </w:r>
      <w:r>
        <w:rPr>
          <w:rFonts w:hint="eastAsia" w:ascii="宋体" w:hAnsi="宋体"/>
          <w:color w:val="auto"/>
          <w:sz w:val="22"/>
          <w:highlight w:val="none"/>
        </w:rPr>
        <w:t xml:space="preserve">        </w:t>
      </w:r>
      <w:r>
        <w:rPr>
          <w:rFonts w:hint="eastAsia" w:ascii="宋体" w:hAnsi="宋体"/>
          <w:color w:val="auto"/>
          <w:sz w:val="22"/>
          <w:highlight w:val="none"/>
        </w:rPr>
        <w:t xml:space="preserve"> </w:t>
      </w:r>
      <w:r>
        <w:rPr>
          <w:rFonts w:ascii="宋体" w:hAnsi="宋体"/>
          <w:color w:val="auto"/>
          <w:sz w:val="22"/>
          <w:highlight w:val="none"/>
        </w:rPr>
        <w:t>B.</w:t>
      </w:r>
      <w:r>
        <w:rPr>
          <w:rFonts w:hint="eastAsia" w:ascii="宋体" w:hAnsi="宋体"/>
          <w:color w:val="auto"/>
          <w:sz w:val="22"/>
          <w:highlight w:val="none"/>
        </w:rPr>
        <w:t xml:space="preserve">错误  </w:t>
      </w:r>
    </w:p>
    <w:p>
      <w:pPr>
        <w:pStyle w:val="13"/>
        <w:spacing w:line="400" w:lineRule="exact"/>
        <w:ind w:firstLine="440"/>
        <w:rPr>
          <w:rFonts w:ascii="宋体" w:hAnsi="宋体"/>
          <w:color w:val="auto"/>
          <w:sz w:val="22"/>
          <w:highlight w:val="none"/>
        </w:rPr>
      </w:pP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72</w:t>
      </w:r>
      <w:r>
        <w:rPr>
          <w:rFonts w:ascii="宋体" w:hAnsi="宋体"/>
          <w:color w:val="auto"/>
          <w:sz w:val="22"/>
          <w:highlight w:val="none"/>
        </w:rPr>
        <w:t>.</w:t>
      </w:r>
      <w:r>
        <w:rPr>
          <w:rFonts w:hint="eastAsia" w:ascii="宋体" w:hAnsi="宋体"/>
          <w:color w:val="auto"/>
          <w:sz w:val="22"/>
          <w:highlight w:val="none"/>
        </w:rPr>
        <w:t xml:space="preserve"> EN值越大表示一张订单所订购的商品品项数越少。</w:t>
      </w:r>
    </w:p>
    <w:p>
      <w:pPr>
        <w:pStyle w:val="13"/>
        <w:spacing w:line="400" w:lineRule="exact"/>
        <w:ind w:firstLine="440"/>
        <w:rPr>
          <w:rFonts w:ascii="宋体" w:hAnsi="宋体"/>
          <w:color w:val="auto"/>
          <w:sz w:val="22"/>
          <w:highlight w:val="none"/>
        </w:rPr>
      </w:pPr>
      <w:r>
        <w:rPr>
          <w:rFonts w:ascii="宋体" w:hAnsi="宋体"/>
          <w:color w:val="auto"/>
          <w:sz w:val="22"/>
          <w:highlight w:val="none"/>
        </w:rPr>
        <w:t>A.</w:t>
      </w:r>
      <w:r>
        <w:rPr>
          <w:rFonts w:hint="eastAsia" w:ascii="宋体" w:hAnsi="宋体"/>
          <w:color w:val="auto"/>
          <w:sz w:val="22"/>
          <w:highlight w:val="none"/>
        </w:rPr>
        <w:t>正确</w:t>
      </w:r>
      <w:r>
        <w:rPr>
          <w:rFonts w:ascii="宋体" w:hAnsi="宋体"/>
          <w:color w:val="auto"/>
          <w:sz w:val="22"/>
          <w:highlight w:val="none"/>
        </w:rPr>
        <w:t xml:space="preserve">   </w:t>
      </w:r>
      <w:r>
        <w:rPr>
          <w:rFonts w:hint="eastAsia" w:ascii="宋体" w:hAnsi="宋体"/>
          <w:color w:val="auto"/>
          <w:sz w:val="22"/>
          <w:highlight w:val="none"/>
        </w:rPr>
        <w:t xml:space="preserve">      </w:t>
      </w:r>
      <w:r>
        <w:rPr>
          <w:rFonts w:hint="eastAsia" w:ascii="宋体" w:hAnsi="宋体"/>
          <w:color w:val="auto"/>
          <w:sz w:val="22"/>
          <w:highlight w:val="none"/>
        </w:rPr>
        <w:t xml:space="preserve">   </w:t>
      </w:r>
      <w:r>
        <w:rPr>
          <w:rFonts w:ascii="宋体" w:hAnsi="宋体"/>
          <w:color w:val="auto"/>
          <w:sz w:val="22"/>
          <w:highlight w:val="none"/>
        </w:rPr>
        <w:t>B.</w:t>
      </w:r>
      <w:r>
        <w:rPr>
          <w:rFonts w:hint="eastAsia" w:ascii="宋体" w:hAnsi="宋体"/>
          <w:color w:val="auto"/>
          <w:sz w:val="22"/>
          <w:highlight w:val="none"/>
        </w:rPr>
        <w:t xml:space="preserve">错误  </w:t>
      </w:r>
    </w:p>
    <w:p>
      <w:pPr>
        <w:pStyle w:val="13"/>
        <w:spacing w:line="400" w:lineRule="exact"/>
        <w:ind w:firstLine="440"/>
        <w:rPr>
          <w:rFonts w:ascii="宋体" w:hAnsi="宋体"/>
          <w:color w:val="auto"/>
          <w:sz w:val="22"/>
          <w:highlight w:val="none"/>
        </w:rPr>
      </w:pP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7</w:t>
      </w:r>
      <w:r>
        <w:rPr>
          <w:rFonts w:ascii="宋体" w:hAnsi="宋体"/>
          <w:color w:val="auto"/>
          <w:sz w:val="22"/>
          <w:highlight w:val="none"/>
        </w:rPr>
        <w:t>3</w:t>
      </w:r>
      <w:r>
        <w:rPr>
          <w:rFonts w:hint="eastAsia" w:ascii="宋体" w:hAnsi="宋体"/>
          <w:color w:val="auto"/>
          <w:sz w:val="22"/>
          <w:highlight w:val="none"/>
        </w:rPr>
        <w:t xml:space="preserve">.配送企业应依靠自有车辆完成送货作业计划，车辆不足时可以适当延迟送货。 </w:t>
      </w:r>
    </w:p>
    <w:p>
      <w:pPr>
        <w:pStyle w:val="13"/>
        <w:spacing w:line="400" w:lineRule="exact"/>
        <w:ind w:firstLine="440"/>
        <w:rPr>
          <w:rFonts w:ascii="宋体" w:hAnsi="宋体"/>
          <w:color w:val="auto"/>
          <w:sz w:val="22"/>
          <w:highlight w:val="none"/>
        </w:rPr>
      </w:pPr>
      <w:r>
        <w:rPr>
          <w:rFonts w:ascii="宋体" w:hAnsi="宋体"/>
          <w:color w:val="auto"/>
          <w:sz w:val="22"/>
          <w:highlight w:val="none"/>
        </w:rPr>
        <w:t>A.</w:t>
      </w:r>
      <w:r>
        <w:rPr>
          <w:rFonts w:hint="eastAsia" w:ascii="宋体" w:hAnsi="宋体"/>
          <w:color w:val="auto"/>
          <w:sz w:val="22"/>
          <w:highlight w:val="none"/>
        </w:rPr>
        <w:t>正确</w:t>
      </w:r>
      <w:r>
        <w:rPr>
          <w:rFonts w:ascii="宋体" w:hAnsi="宋体"/>
          <w:color w:val="auto"/>
          <w:sz w:val="22"/>
          <w:highlight w:val="none"/>
        </w:rPr>
        <w:t xml:space="preserve">   </w:t>
      </w:r>
      <w:r>
        <w:rPr>
          <w:rFonts w:hint="eastAsia" w:ascii="宋体" w:hAnsi="宋体"/>
          <w:color w:val="auto"/>
          <w:sz w:val="22"/>
          <w:highlight w:val="none"/>
        </w:rPr>
        <w:t xml:space="preserve">        </w:t>
      </w:r>
      <w:r>
        <w:rPr>
          <w:rFonts w:hint="eastAsia" w:ascii="宋体" w:hAnsi="宋体"/>
          <w:color w:val="auto"/>
          <w:sz w:val="22"/>
          <w:highlight w:val="none"/>
        </w:rPr>
        <w:t xml:space="preserve"> </w:t>
      </w:r>
      <w:r>
        <w:rPr>
          <w:rFonts w:ascii="宋体" w:hAnsi="宋体"/>
          <w:color w:val="auto"/>
          <w:sz w:val="22"/>
          <w:highlight w:val="none"/>
        </w:rPr>
        <w:t>B.</w:t>
      </w:r>
      <w:r>
        <w:rPr>
          <w:rFonts w:hint="eastAsia" w:ascii="宋体" w:hAnsi="宋体"/>
          <w:color w:val="auto"/>
          <w:sz w:val="22"/>
          <w:highlight w:val="none"/>
        </w:rPr>
        <w:t xml:space="preserve">错误  </w:t>
      </w:r>
    </w:p>
    <w:p>
      <w:pPr>
        <w:pStyle w:val="13"/>
        <w:spacing w:line="400" w:lineRule="exact"/>
        <w:ind w:firstLine="440"/>
        <w:rPr>
          <w:rFonts w:ascii="宋体" w:hAnsi="宋体"/>
          <w:color w:val="auto"/>
          <w:sz w:val="22"/>
          <w:highlight w:val="none"/>
        </w:rPr>
      </w:pP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7</w:t>
      </w:r>
      <w:r>
        <w:rPr>
          <w:rFonts w:ascii="宋体" w:hAnsi="宋体"/>
          <w:color w:val="auto"/>
          <w:sz w:val="22"/>
          <w:highlight w:val="none"/>
        </w:rPr>
        <w:t>4</w:t>
      </w:r>
      <w:r>
        <w:rPr>
          <w:rFonts w:hint="eastAsia" w:ascii="宋体" w:hAnsi="宋体"/>
          <w:color w:val="auto"/>
          <w:sz w:val="22"/>
          <w:highlight w:val="none"/>
        </w:rPr>
        <w:t xml:space="preserve">.日配送计划是相对稳定的配送业务的长期计划。 </w:t>
      </w:r>
    </w:p>
    <w:p>
      <w:pPr>
        <w:pStyle w:val="13"/>
        <w:spacing w:line="400" w:lineRule="exact"/>
        <w:ind w:firstLine="440"/>
        <w:rPr>
          <w:rFonts w:ascii="宋体" w:hAnsi="宋体"/>
          <w:color w:val="auto"/>
          <w:sz w:val="22"/>
          <w:highlight w:val="none"/>
        </w:rPr>
      </w:pPr>
      <w:r>
        <w:rPr>
          <w:rFonts w:ascii="宋体" w:hAnsi="宋体"/>
          <w:color w:val="auto"/>
          <w:sz w:val="22"/>
          <w:highlight w:val="none"/>
        </w:rPr>
        <w:t>A.</w:t>
      </w:r>
      <w:r>
        <w:rPr>
          <w:rFonts w:hint="eastAsia" w:ascii="宋体" w:hAnsi="宋体"/>
          <w:color w:val="auto"/>
          <w:sz w:val="22"/>
          <w:highlight w:val="none"/>
        </w:rPr>
        <w:t>正确</w:t>
      </w:r>
      <w:r>
        <w:rPr>
          <w:rFonts w:ascii="宋体" w:hAnsi="宋体"/>
          <w:color w:val="auto"/>
          <w:sz w:val="22"/>
          <w:highlight w:val="none"/>
        </w:rPr>
        <w:t xml:space="preserve">   </w:t>
      </w:r>
      <w:r>
        <w:rPr>
          <w:rFonts w:hint="eastAsia" w:ascii="宋体" w:hAnsi="宋体"/>
          <w:color w:val="auto"/>
          <w:sz w:val="22"/>
          <w:highlight w:val="none"/>
        </w:rPr>
        <w:t xml:space="preserve">       </w:t>
      </w:r>
      <w:r>
        <w:rPr>
          <w:rFonts w:hint="eastAsia" w:ascii="宋体" w:hAnsi="宋体"/>
          <w:color w:val="auto"/>
          <w:sz w:val="22"/>
          <w:highlight w:val="none"/>
        </w:rPr>
        <w:t xml:space="preserve">  </w:t>
      </w:r>
      <w:r>
        <w:rPr>
          <w:rFonts w:ascii="宋体" w:hAnsi="宋体"/>
          <w:color w:val="auto"/>
          <w:sz w:val="22"/>
          <w:highlight w:val="none"/>
        </w:rPr>
        <w:t>B.</w:t>
      </w:r>
      <w:r>
        <w:rPr>
          <w:rFonts w:hint="eastAsia" w:ascii="宋体" w:hAnsi="宋体"/>
          <w:color w:val="auto"/>
          <w:sz w:val="22"/>
          <w:highlight w:val="none"/>
        </w:rPr>
        <w:t xml:space="preserve">错误  </w:t>
      </w:r>
    </w:p>
    <w:p>
      <w:pPr>
        <w:pStyle w:val="13"/>
        <w:spacing w:line="400" w:lineRule="exact"/>
        <w:ind w:firstLine="440"/>
        <w:rPr>
          <w:rFonts w:ascii="宋体" w:hAnsi="宋体"/>
          <w:color w:val="auto"/>
          <w:sz w:val="22"/>
          <w:highlight w:val="none"/>
        </w:rPr>
      </w:pPr>
    </w:p>
    <w:p>
      <w:pPr>
        <w:pStyle w:val="13"/>
        <w:spacing w:line="400" w:lineRule="exact"/>
        <w:ind w:firstLine="440"/>
        <w:rPr>
          <w:rFonts w:hint="eastAsia" w:ascii="宋体" w:hAnsi="宋体"/>
          <w:color w:val="auto"/>
          <w:sz w:val="22"/>
          <w:highlight w:val="none"/>
        </w:rPr>
      </w:pPr>
      <w:bookmarkStart w:id="19" w:name="_Hlk89443546"/>
      <w:r>
        <w:rPr>
          <w:rFonts w:hint="eastAsia" w:ascii="宋体" w:hAnsi="宋体"/>
          <w:color w:val="auto"/>
          <w:sz w:val="22"/>
          <w:highlight w:val="none"/>
          <w:lang w:val="en-US" w:eastAsia="zh-CN"/>
        </w:rPr>
        <w:t>75.</w:t>
      </w:r>
      <w:r>
        <w:rPr>
          <w:rFonts w:hint="eastAsia" w:ascii="宋体" w:hAnsi="宋体"/>
          <w:color w:val="auto"/>
          <w:sz w:val="22"/>
          <w:highlight w:val="none"/>
        </w:rPr>
        <w:t>对于整批货物的长途运输和短途零散客户的货物运输一般不适宜采用甩挂运输。</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A.对</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B.错</w:t>
      </w:r>
    </w:p>
    <w:bookmarkEnd w:id="19"/>
    <w:p>
      <w:pPr>
        <w:pStyle w:val="13"/>
        <w:spacing w:line="400" w:lineRule="exact"/>
        <w:ind w:firstLine="440"/>
        <w:rPr>
          <w:rFonts w:hint="eastAsia" w:ascii="宋体" w:hAnsi="宋体"/>
          <w:color w:val="auto"/>
          <w:sz w:val="22"/>
          <w:highlight w:val="none"/>
        </w:rPr>
      </w:pP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76</w:t>
      </w:r>
      <w:bookmarkStart w:id="20" w:name="_Hlk89448191"/>
      <w:r>
        <w:rPr>
          <w:rFonts w:hint="eastAsia" w:ascii="宋体" w:hAnsi="宋体"/>
          <w:color w:val="auto"/>
          <w:sz w:val="22"/>
          <w:highlight w:val="none"/>
          <w:lang w:eastAsia="zh-CN"/>
        </w:rPr>
        <w:t>.</w:t>
      </w:r>
      <w:r>
        <w:rPr>
          <w:rFonts w:hint="eastAsia" w:ascii="宋体" w:hAnsi="宋体"/>
          <w:color w:val="auto"/>
          <w:sz w:val="22"/>
          <w:highlight w:val="none"/>
        </w:rPr>
        <w:t>中铁快运股份有限公司推出的高铁快运“次晨达”产品是指寄件截单时间为当日12:00，送达时间为第二日11:00之前的产品。</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A.对</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B.错</w:t>
      </w:r>
    </w:p>
    <w:bookmarkEnd w:id="20"/>
    <w:p>
      <w:pPr>
        <w:pStyle w:val="13"/>
        <w:spacing w:line="400" w:lineRule="exact"/>
        <w:ind w:left="0" w:leftChars="0" w:firstLine="0" w:firstLineChars="0"/>
        <w:rPr>
          <w:rFonts w:hint="eastAsia" w:ascii="宋体" w:hAnsi="宋体"/>
          <w:color w:val="auto"/>
          <w:sz w:val="22"/>
          <w:highlight w:val="none"/>
        </w:rPr>
      </w:pPr>
    </w:p>
    <w:p>
      <w:pPr>
        <w:pStyle w:val="13"/>
        <w:spacing w:line="400" w:lineRule="exact"/>
        <w:ind w:firstLine="440"/>
        <w:rPr>
          <w:rFonts w:hint="eastAsia" w:ascii="宋体" w:hAnsi="宋体"/>
          <w:color w:val="auto"/>
          <w:sz w:val="22"/>
          <w:highlight w:val="none"/>
        </w:rPr>
      </w:pPr>
      <w:bookmarkStart w:id="21" w:name="_Hlk89394671"/>
      <w:r>
        <w:rPr>
          <w:rFonts w:hint="eastAsia" w:ascii="宋体" w:hAnsi="宋体"/>
          <w:color w:val="auto"/>
          <w:sz w:val="22"/>
          <w:highlight w:val="none"/>
          <w:lang w:val="en-US" w:eastAsia="zh-CN"/>
        </w:rPr>
        <w:t>77.</w:t>
      </w:r>
      <w:r>
        <w:rPr>
          <w:rFonts w:hint="eastAsia" w:ascii="宋体" w:hAnsi="宋体"/>
          <w:color w:val="auto"/>
          <w:sz w:val="22"/>
          <w:highlight w:val="none"/>
        </w:rPr>
        <w:t>传统成本核算法对间接费用的核算较为明确，对于直接费用的核算采用分配的方式进行，具有较大的随意性。而作业成本核算法的诞生就是基于传统成本核算对直接费用分配问题的深入思考。</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A.对</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B.错</w:t>
      </w:r>
      <w:bookmarkEnd w:id="21"/>
    </w:p>
    <w:p>
      <w:pPr>
        <w:pStyle w:val="13"/>
        <w:spacing w:line="400" w:lineRule="exact"/>
        <w:ind w:firstLine="440"/>
        <w:rPr>
          <w:rFonts w:ascii="宋体" w:hAnsi="宋体"/>
          <w:color w:val="auto"/>
          <w:sz w:val="22"/>
          <w:highlight w:val="none"/>
        </w:rPr>
      </w:pP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7</w:t>
      </w:r>
      <w:r>
        <w:rPr>
          <w:rFonts w:ascii="宋体" w:hAnsi="宋体"/>
          <w:color w:val="auto"/>
          <w:sz w:val="22"/>
          <w:highlight w:val="none"/>
        </w:rPr>
        <w:t xml:space="preserve">8. </w:t>
      </w:r>
      <w:r>
        <w:rPr>
          <w:rFonts w:hint="eastAsia" w:ascii="宋体" w:hAnsi="宋体"/>
          <w:color w:val="auto"/>
          <w:sz w:val="22"/>
          <w:highlight w:val="none"/>
        </w:rPr>
        <w:t>物流作业系统的合理化是指在物流作业系统整体效果最优的前提下，有效整合各分项作业流程，共同实现物流作业效果的优化。</w:t>
      </w:r>
    </w:p>
    <w:p>
      <w:pPr>
        <w:pStyle w:val="13"/>
        <w:spacing w:line="400" w:lineRule="exact"/>
        <w:ind w:firstLine="440"/>
        <w:rPr>
          <w:rFonts w:ascii="宋体" w:hAnsi="宋体"/>
          <w:color w:val="auto"/>
          <w:sz w:val="22"/>
          <w:highlight w:val="none"/>
        </w:rPr>
      </w:pPr>
      <w:r>
        <w:rPr>
          <w:rFonts w:ascii="宋体" w:hAnsi="宋体"/>
          <w:color w:val="auto"/>
          <w:sz w:val="22"/>
          <w:highlight w:val="none"/>
        </w:rPr>
        <w:t>A.</w:t>
      </w:r>
      <w:r>
        <w:rPr>
          <w:rFonts w:hint="eastAsia" w:ascii="宋体" w:hAnsi="宋体"/>
          <w:color w:val="auto"/>
          <w:sz w:val="22"/>
          <w:highlight w:val="none"/>
        </w:rPr>
        <w:t>正确</w:t>
      </w:r>
      <w:r>
        <w:rPr>
          <w:rFonts w:ascii="宋体" w:hAnsi="宋体"/>
          <w:color w:val="auto"/>
          <w:sz w:val="22"/>
          <w:highlight w:val="none"/>
        </w:rPr>
        <w:t xml:space="preserve">  </w:t>
      </w:r>
      <w:r>
        <w:rPr>
          <w:rFonts w:ascii="宋体" w:hAnsi="宋体"/>
          <w:color w:val="auto"/>
          <w:sz w:val="22"/>
          <w:highlight w:val="none"/>
        </w:rPr>
        <w:t xml:space="preserve">          B.</w:t>
      </w:r>
      <w:r>
        <w:rPr>
          <w:rFonts w:hint="eastAsia" w:ascii="宋体" w:hAnsi="宋体"/>
          <w:color w:val="auto"/>
          <w:sz w:val="22"/>
          <w:highlight w:val="none"/>
        </w:rPr>
        <w:t>错误</w:t>
      </w:r>
    </w:p>
    <w:p>
      <w:pPr>
        <w:pStyle w:val="13"/>
        <w:spacing w:line="400" w:lineRule="exact"/>
        <w:ind w:firstLine="440"/>
        <w:rPr>
          <w:rFonts w:hint="eastAsia" w:ascii="宋体" w:hAnsi="宋体"/>
          <w:color w:val="auto"/>
          <w:sz w:val="22"/>
          <w:highlight w:val="none"/>
        </w:rPr>
      </w:pP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lang w:val="en-US" w:eastAsia="zh-CN"/>
        </w:rPr>
        <w:t>79.</w:t>
      </w:r>
      <w:r>
        <w:rPr>
          <w:rFonts w:hint="eastAsia" w:ascii="宋体" w:hAnsi="宋体"/>
          <w:color w:val="auto"/>
          <w:sz w:val="22"/>
          <w:highlight w:val="none"/>
        </w:rPr>
        <w:t>流程分析与优化的价值在市场方面，表现为提高流程反应速度，有效增强对市场变化的应变能力。</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A.对</w:t>
      </w:r>
    </w:p>
    <w:p>
      <w:pPr>
        <w:pStyle w:val="13"/>
        <w:spacing w:line="400" w:lineRule="exact"/>
        <w:ind w:firstLine="440"/>
        <w:rPr>
          <w:rFonts w:hint="eastAsia" w:ascii="宋体" w:hAnsi="宋体"/>
          <w:color w:val="auto"/>
          <w:sz w:val="22"/>
          <w:highlight w:val="none"/>
        </w:rPr>
      </w:pPr>
      <w:r>
        <w:rPr>
          <w:rFonts w:hint="eastAsia" w:ascii="宋体" w:hAnsi="宋体"/>
          <w:color w:val="auto"/>
          <w:sz w:val="22"/>
          <w:highlight w:val="none"/>
        </w:rPr>
        <w:t>B.错</w:t>
      </w:r>
    </w:p>
    <w:p>
      <w:pPr>
        <w:pStyle w:val="13"/>
        <w:spacing w:line="400" w:lineRule="exact"/>
        <w:ind w:left="0" w:leftChars="0" w:firstLine="0" w:firstLineChars="0"/>
        <w:rPr>
          <w:rFonts w:ascii="宋体" w:hAnsi="宋体"/>
          <w:color w:val="auto"/>
          <w:sz w:val="22"/>
          <w:highlight w:val="none"/>
        </w:rPr>
      </w:pP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8</w:t>
      </w:r>
      <w:r>
        <w:rPr>
          <w:rFonts w:ascii="宋体" w:hAnsi="宋体"/>
          <w:color w:val="auto"/>
          <w:sz w:val="22"/>
          <w:highlight w:val="none"/>
        </w:rPr>
        <w:t>0</w:t>
      </w:r>
      <w:r>
        <w:rPr>
          <w:rFonts w:hint="eastAsia" w:ascii="宋体" w:hAnsi="宋体"/>
          <w:color w:val="auto"/>
          <w:sz w:val="22"/>
          <w:highlight w:val="none"/>
        </w:rPr>
        <w:t>.旋转货架系统与Miniload系统一样，均</w:t>
      </w:r>
      <w:r>
        <w:rPr>
          <w:rFonts w:ascii="宋体" w:hAnsi="宋体"/>
          <w:color w:val="auto"/>
          <w:sz w:val="22"/>
          <w:highlight w:val="none"/>
        </w:rPr>
        <w:tab/>
      </w:r>
      <w:r>
        <w:rPr>
          <w:rFonts w:hint="eastAsia" w:ascii="宋体" w:hAnsi="宋体"/>
          <w:color w:val="auto"/>
          <w:sz w:val="22"/>
          <w:highlight w:val="none"/>
        </w:rPr>
        <w:t>是非常成熟的货到人拣选解决方案，适合存储大件商品。</w:t>
      </w:r>
    </w:p>
    <w:p>
      <w:pPr>
        <w:pStyle w:val="13"/>
        <w:spacing w:line="400" w:lineRule="exact"/>
        <w:ind w:firstLine="440"/>
        <w:rPr>
          <w:rFonts w:ascii="宋体" w:hAnsi="宋体"/>
          <w:color w:val="auto"/>
          <w:sz w:val="22"/>
          <w:highlight w:val="none"/>
        </w:rPr>
      </w:pPr>
      <w:r>
        <w:rPr>
          <w:rFonts w:ascii="宋体" w:hAnsi="宋体"/>
          <w:color w:val="auto"/>
          <w:sz w:val="22"/>
          <w:highlight w:val="none"/>
        </w:rPr>
        <w:t>A.</w:t>
      </w:r>
      <w:r>
        <w:rPr>
          <w:rFonts w:hint="eastAsia" w:ascii="宋体" w:hAnsi="宋体"/>
          <w:color w:val="auto"/>
          <w:sz w:val="22"/>
          <w:highlight w:val="none"/>
        </w:rPr>
        <w:t>正确</w:t>
      </w:r>
      <w:r>
        <w:rPr>
          <w:rFonts w:ascii="宋体" w:hAnsi="宋体"/>
          <w:color w:val="auto"/>
          <w:sz w:val="22"/>
          <w:highlight w:val="none"/>
        </w:rPr>
        <w:t xml:space="preserve">           </w:t>
      </w:r>
      <w:r>
        <w:rPr>
          <w:rFonts w:ascii="宋体" w:hAnsi="宋体"/>
          <w:color w:val="auto"/>
          <w:sz w:val="22"/>
          <w:highlight w:val="none"/>
        </w:rPr>
        <w:t xml:space="preserve"> B.</w:t>
      </w:r>
      <w:r>
        <w:rPr>
          <w:rFonts w:hint="eastAsia" w:ascii="宋体" w:hAnsi="宋体"/>
          <w:color w:val="auto"/>
          <w:sz w:val="22"/>
          <w:highlight w:val="none"/>
        </w:rPr>
        <w:t>错误</w:t>
      </w:r>
    </w:p>
    <w:p>
      <w:pPr>
        <w:spacing w:line="400" w:lineRule="exact"/>
        <w:rPr>
          <w:rFonts w:ascii="宋体" w:hAnsi="宋体"/>
          <w:color w:val="auto"/>
          <w:sz w:val="22"/>
          <w:highlight w:val="none"/>
        </w:rPr>
      </w:pPr>
    </w:p>
    <w:p>
      <w:pPr>
        <w:spacing w:line="400" w:lineRule="exact"/>
        <w:rPr>
          <w:rFonts w:ascii="宋体" w:hAnsi="宋体"/>
          <w:b/>
          <w:color w:val="auto"/>
          <w:sz w:val="22"/>
          <w:highlight w:val="none"/>
        </w:rPr>
      </w:pPr>
      <w:r>
        <w:rPr>
          <w:rFonts w:hint="eastAsia" w:ascii="宋体" w:hAnsi="宋体"/>
          <w:b/>
          <w:color w:val="auto"/>
          <w:sz w:val="22"/>
          <w:highlight w:val="none"/>
        </w:rPr>
        <w:t>四、综合实务题（本大题共2大题，每小题20分，共40分）</w:t>
      </w:r>
    </w:p>
    <w:p>
      <w:pPr>
        <w:pStyle w:val="13"/>
        <w:spacing w:line="400" w:lineRule="exact"/>
        <w:ind w:firstLine="440"/>
        <w:rPr>
          <w:rFonts w:ascii="宋体" w:hAnsi="宋体"/>
          <w:color w:val="auto"/>
          <w:sz w:val="22"/>
          <w:highlight w:val="none"/>
        </w:rPr>
      </w:pPr>
      <w:bookmarkStart w:id="22" w:name="_Hlk17763032"/>
      <w:r>
        <w:rPr>
          <w:rFonts w:hint="eastAsia" w:ascii="宋体" w:hAnsi="宋体"/>
          <w:color w:val="auto"/>
          <w:sz w:val="22"/>
          <w:highlight w:val="none"/>
        </w:rPr>
        <w:t>82.安全作业（共20分</w:t>
      </w:r>
      <w:bookmarkEnd w:id="22"/>
      <w:r>
        <w:rPr>
          <w:rFonts w:hint="eastAsia" w:ascii="宋体" w:hAnsi="宋体"/>
          <w:color w:val="auto"/>
          <w:sz w:val="22"/>
          <w:highlight w:val="none"/>
        </w:rPr>
        <w:t>）</w:t>
      </w:r>
    </w:p>
    <w:p>
      <w:pPr>
        <w:spacing w:line="400" w:lineRule="exact"/>
        <w:ind w:firstLine="418" w:firstLineChars="190"/>
        <w:rPr>
          <w:rFonts w:ascii="宋体" w:hAnsi="宋体"/>
          <w:color w:val="auto"/>
          <w:sz w:val="22"/>
          <w:highlight w:val="none"/>
        </w:rPr>
      </w:pPr>
      <w:r>
        <w:rPr>
          <w:rFonts w:hint="eastAsia" w:ascii="宋体" w:hAnsi="宋体"/>
          <w:color w:val="auto"/>
          <w:sz w:val="22"/>
          <w:highlight w:val="none"/>
        </w:rPr>
        <w:t>（1）选择安全图标的正确含义。（正确1组2分；共8分）</w:t>
      </w:r>
    </w:p>
    <w:tbl>
      <w:tblPr>
        <w:tblStyle w:val="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190"/>
        <w:gridCol w:w="41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0" w:hRule="atLeast"/>
        </w:trPr>
        <w:tc>
          <w:tcPr>
            <w:tcW w:w="4190" w:type="dxa"/>
            <w:vMerge w:val="restart"/>
          </w:tcPr>
          <w:p>
            <w:pPr>
              <w:rPr>
                <w:color w:val="auto"/>
                <w:highlight w:val="none"/>
              </w:rPr>
            </w:pPr>
            <w:r>
              <w:rPr>
                <w:color w:val="auto"/>
                <w:highlight w:val="none"/>
              </w:rPr>
              <w:drawing>
                <wp:inline distT="0" distB="0" distL="114300" distR="114300">
                  <wp:extent cx="1104900" cy="1100455"/>
                  <wp:effectExtent l="0" t="0" r="0" b="4445"/>
                  <wp:docPr id="225" name="图片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图片 225"/>
                          <pic:cNvPicPr>
                            <a:picLocks noChangeAspect="1"/>
                          </pic:cNvPicPr>
                        </pic:nvPicPr>
                        <pic:blipFill>
                          <a:blip r:embed="rId5"/>
                          <a:stretch>
                            <a:fillRect/>
                          </a:stretch>
                        </pic:blipFill>
                        <pic:spPr>
                          <a:xfrm>
                            <a:off x="0" y="0"/>
                            <a:ext cx="1104900" cy="1100455"/>
                          </a:xfrm>
                          <a:prstGeom prst="rect">
                            <a:avLst/>
                          </a:prstGeom>
                          <a:noFill/>
                          <a:ln>
                            <a:noFill/>
                          </a:ln>
                        </pic:spPr>
                      </pic:pic>
                    </a:graphicData>
                  </a:graphic>
                </wp:inline>
              </w:drawing>
            </w:r>
          </w:p>
        </w:tc>
        <w:tc>
          <w:tcPr>
            <w:tcW w:w="4190" w:type="dxa"/>
            <w:vAlign w:val="center"/>
          </w:tcPr>
          <w:p>
            <w:pPr>
              <w:rPr>
                <w:color w:val="auto"/>
                <w:sz w:val="22"/>
                <w:highlight w:val="none"/>
              </w:rPr>
            </w:pPr>
            <w:r>
              <w:rPr>
                <w:rFonts w:hint="eastAsia"/>
                <w:color w:val="auto"/>
                <w:sz w:val="22"/>
                <w:highlight w:val="none"/>
              </w:rPr>
              <w:t>禁止堆放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90" w:type="dxa"/>
            <w:vMerge w:val="continue"/>
          </w:tcPr>
          <w:p>
            <w:pPr>
              <w:rPr>
                <w:color w:val="auto"/>
                <w:highlight w:val="none"/>
              </w:rPr>
            </w:pPr>
          </w:p>
        </w:tc>
        <w:tc>
          <w:tcPr>
            <w:tcW w:w="4190" w:type="dxa"/>
            <w:vAlign w:val="center"/>
          </w:tcPr>
          <w:p>
            <w:pPr>
              <w:rPr>
                <w:color w:val="auto"/>
                <w:sz w:val="22"/>
                <w:highlight w:val="none"/>
              </w:rPr>
            </w:pPr>
            <w:r>
              <w:rPr>
                <w:rFonts w:hint="eastAsia"/>
                <w:color w:val="auto"/>
                <w:sz w:val="22"/>
                <w:highlight w:val="none"/>
              </w:rPr>
              <w:t>禁使用托盘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4" w:hRule="atLeast"/>
        </w:trPr>
        <w:tc>
          <w:tcPr>
            <w:tcW w:w="4190" w:type="dxa"/>
            <w:vMerge w:val="restart"/>
          </w:tcPr>
          <w:p>
            <w:pPr>
              <w:rPr>
                <w:color w:val="auto"/>
                <w:highlight w:val="none"/>
              </w:rPr>
            </w:pPr>
            <w:r>
              <w:rPr>
                <w:color w:val="auto"/>
                <w:highlight w:val="none"/>
              </w:rPr>
              <w:drawing>
                <wp:inline distT="0" distB="0" distL="114300" distR="114300">
                  <wp:extent cx="952500" cy="955675"/>
                  <wp:effectExtent l="0" t="0" r="0" b="0"/>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6"/>
                          <a:stretch>
                            <a:fillRect/>
                          </a:stretch>
                        </pic:blipFill>
                        <pic:spPr>
                          <a:xfrm>
                            <a:off x="0" y="0"/>
                            <a:ext cx="959681" cy="963012"/>
                          </a:xfrm>
                          <a:prstGeom prst="rect">
                            <a:avLst/>
                          </a:prstGeom>
                          <a:noFill/>
                          <a:ln>
                            <a:noFill/>
                          </a:ln>
                        </pic:spPr>
                      </pic:pic>
                    </a:graphicData>
                  </a:graphic>
                </wp:inline>
              </w:drawing>
            </w:r>
          </w:p>
        </w:tc>
        <w:tc>
          <w:tcPr>
            <w:tcW w:w="4190" w:type="dxa"/>
            <w:vAlign w:val="center"/>
          </w:tcPr>
          <w:p>
            <w:pPr>
              <w:rPr>
                <w:color w:val="auto"/>
                <w:sz w:val="22"/>
                <w:highlight w:val="none"/>
              </w:rPr>
            </w:pPr>
            <w:r>
              <w:rPr>
                <w:rFonts w:hint="eastAsia"/>
                <w:color w:val="auto"/>
                <w:sz w:val="22"/>
                <w:highlight w:val="none"/>
              </w:rPr>
              <w:t>禁止戴手套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90" w:type="dxa"/>
            <w:vMerge w:val="continue"/>
          </w:tcPr>
          <w:p>
            <w:pPr>
              <w:rPr>
                <w:color w:val="auto"/>
                <w:highlight w:val="none"/>
              </w:rPr>
            </w:pPr>
          </w:p>
        </w:tc>
        <w:tc>
          <w:tcPr>
            <w:tcW w:w="4190" w:type="dxa"/>
            <w:vAlign w:val="center"/>
          </w:tcPr>
          <w:p>
            <w:pPr>
              <w:rPr>
                <w:color w:val="auto"/>
                <w:sz w:val="22"/>
                <w:highlight w:val="none"/>
              </w:rPr>
            </w:pPr>
            <w:r>
              <w:rPr>
                <w:rFonts w:hint="eastAsia"/>
                <w:color w:val="auto"/>
                <w:sz w:val="22"/>
                <w:highlight w:val="none"/>
              </w:rPr>
              <w:t>禁止伸手触摸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13" w:hRule="atLeast"/>
        </w:trPr>
        <w:tc>
          <w:tcPr>
            <w:tcW w:w="4190" w:type="dxa"/>
            <w:vMerge w:val="restart"/>
          </w:tcPr>
          <w:p>
            <w:pPr>
              <w:rPr>
                <w:color w:val="auto"/>
                <w:highlight w:val="none"/>
              </w:rPr>
            </w:pPr>
            <w:r>
              <w:rPr>
                <w:color w:val="auto"/>
                <w:highlight w:val="none"/>
              </w:rPr>
              <w:drawing>
                <wp:inline distT="0" distB="0" distL="114300" distR="114300">
                  <wp:extent cx="985520" cy="960120"/>
                  <wp:effectExtent l="0" t="0" r="508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stretch>
                            <a:fillRect/>
                          </a:stretch>
                        </pic:blipFill>
                        <pic:spPr>
                          <a:xfrm>
                            <a:off x="0" y="0"/>
                            <a:ext cx="991574" cy="966279"/>
                          </a:xfrm>
                          <a:prstGeom prst="rect">
                            <a:avLst/>
                          </a:prstGeom>
                          <a:noFill/>
                          <a:ln>
                            <a:noFill/>
                          </a:ln>
                        </pic:spPr>
                      </pic:pic>
                    </a:graphicData>
                  </a:graphic>
                </wp:inline>
              </w:drawing>
            </w:r>
          </w:p>
        </w:tc>
        <w:tc>
          <w:tcPr>
            <w:tcW w:w="4190" w:type="dxa"/>
            <w:vAlign w:val="center"/>
          </w:tcPr>
          <w:p>
            <w:pPr>
              <w:rPr>
                <w:color w:val="auto"/>
                <w:sz w:val="22"/>
                <w:highlight w:val="none"/>
              </w:rPr>
            </w:pPr>
            <w:r>
              <w:rPr>
                <w:rFonts w:hint="eastAsia"/>
                <w:color w:val="auto"/>
                <w:sz w:val="22"/>
                <w:highlight w:val="none"/>
              </w:rPr>
              <w:t>禁止入内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90" w:type="dxa"/>
            <w:vMerge w:val="continue"/>
          </w:tcPr>
          <w:p>
            <w:pPr>
              <w:rPr>
                <w:color w:val="auto"/>
                <w:highlight w:val="none"/>
              </w:rPr>
            </w:pPr>
          </w:p>
        </w:tc>
        <w:tc>
          <w:tcPr>
            <w:tcW w:w="4190" w:type="dxa"/>
            <w:vAlign w:val="center"/>
          </w:tcPr>
          <w:p>
            <w:pPr>
              <w:rPr>
                <w:color w:val="auto"/>
                <w:sz w:val="22"/>
                <w:highlight w:val="none"/>
              </w:rPr>
            </w:pPr>
            <w:r>
              <w:rPr>
                <w:rFonts w:hint="eastAsia"/>
                <w:color w:val="auto"/>
                <w:sz w:val="22"/>
                <w:highlight w:val="none"/>
              </w:rPr>
              <w:t>禁止通行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7" w:hRule="atLeast"/>
        </w:trPr>
        <w:tc>
          <w:tcPr>
            <w:tcW w:w="4190" w:type="dxa"/>
            <w:vMerge w:val="restart"/>
          </w:tcPr>
          <w:p>
            <w:pPr>
              <w:rPr>
                <w:color w:val="auto"/>
                <w:highlight w:val="none"/>
              </w:rPr>
            </w:pPr>
            <w:r>
              <w:rPr>
                <w:color w:val="auto"/>
                <w:highlight w:val="none"/>
              </w:rPr>
              <w:drawing>
                <wp:inline distT="0" distB="0" distL="114300" distR="114300">
                  <wp:extent cx="998855" cy="1007110"/>
                  <wp:effectExtent l="0" t="0" r="0" b="2540"/>
                  <wp:docPr id="29"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8"/>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1004974" cy="1013212"/>
                          </a:xfrm>
                          <a:prstGeom prst="rect">
                            <a:avLst/>
                          </a:prstGeom>
                        </pic:spPr>
                      </pic:pic>
                    </a:graphicData>
                  </a:graphic>
                </wp:inline>
              </w:drawing>
            </w:r>
          </w:p>
        </w:tc>
        <w:tc>
          <w:tcPr>
            <w:tcW w:w="4190" w:type="dxa"/>
            <w:vAlign w:val="center"/>
          </w:tcPr>
          <w:p>
            <w:pPr>
              <w:rPr>
                <w:color w:val="auto"/>
                <w:sz w:val="22"/>
                <w:highlight w:val="none"/>
              </w:rPr>
            </w:pPr>
            <w:r>
              <w:rPr>
                <w:rFonts w:hint="eastAsia"/>
                <w:color w:val="auto"/>
                <w:sz w:val="22"/>
                <w:highlight w:val="none"/>
              </w:rPr>
              <w:t>当心坑洞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90" w:type="dxa"/>
            <w:vMerge w:val="continue"/>
          </w:tcPr>
          <w:p>
            <w:pPr>
              <w:rPr>
                <w:color w:val="auto"/>
                <w:highlight w:val="none"/>
              </w:rPr>
            </w:pPr>
          </w:p>
        </w:tc>
        <w:tc>
          <w:tcPr>
            <w:tcW w:w="4190" w:type="dxa"/>
            <w:vAlign w:val="center"/>
          </w:tcPr>
          <w:p>
            <w:pPr>
              <w:rPr>
                <w:color w:val="auto"/>
                <w:sz w:val="22"/>
                <w:highlight w:val="none"/>
              </w:rPr>
            </w:pPr>
            <w:r>
              <w:rPr>
                <w:rFonts w:hint="eastAsia"/>
                <w:color w:val="auto"/>
                <w:sz w:val="22"/>
                <w:highlight w:val="none"/>
              </w:rPr>
              <w:t>当心摔倒</w:t>
            </w:r>
          </w:p>
        </w:tc>
      </w:tr>
    </w:tbl>
    <w:p>
      <w:pPr>
        <w:widowControl/>
        <w:jc w:val="left"/>
        <w:rPr>
          <w:color w:val="auto"/>
          <w:highlight w:val="none"/>
        </w:rPr>
      </w:pPr>
    </w:p>
    <w:p>
      <w:pPr>
        <w:spacing w:line="400" w:lineRule="exact"/>
        <w:rPr>
          <w:rFonts w:ascii="宋体" w:hAnsi="宋体"/>
          <w:color w:val="auto"/>
          <w:sz w:val="22"/>
          <w:highlight w:val="none"/>
        </w:rPr>
      </w:pPr>
    </w:p>
    <w:p>
      <w:pPr>
        <w:spacing w:line="400" w:lineRule="exact"/>
        <w:ind w:firstLine="418" w:firstLineChars="190"/>
        <w:rPr>
          <w:rFonts w:ascii="宋体" w:hAnsi="宋体"/>
          <w:color w:val="auto"/>
          <w:sz w:val="22"/>
          <w:highlight w:val="none"/>
        </w:rPr>
      </w:pPr>
      <w:r>
        <w:rPr>
          <w:rFonts w:hint="eastAsia" w:ascii="宋体" w:hAnsi="宋体"/>
          <w:color w:val="auto"/>
          <w:sz w:val="22"/>
          <w:highlight w:val="none"/>
        </w:rPr>
        <w:t>（2）安全图标选用（共12分）</w:t>
      </w:r>
    </w:p>
    <w:p>
      <w:pPr>
        <w:spacing w:line="400" w:lineRule="exact"/>
        <w:ind w:firstLine="418" w:firstLineChars="190"/>
        <w:rPr>
          <w:rFonts w:ascii="宋体" w:hAnsi="宋体"/>
          <w:color w:val="auto"/>
          <w:sz w:val="22"/>
          <w:highlight w:val="none"/>
        </w:rPr>
      </w:pPr>
      <w:r>
        <w:rPr>
          <w:rFonts w:hint="eastAsia" w:ascii="宋体" w:hAnsi="宋体"/>
          <w:color w:val="auto"/>
          <w:sz w:val="22"/>
          <w:highlight w:val="none"/>
        </w:rPr>
        <w:t>2020年6月是第19个全国“安全生产月”。5月12日，国务院安委会办公室和应急管理部联合下发通知，以“消除事故隐患，筑牢安全防线”为主题，部署开展全国“安全生产月”和“安全生产万里行”活动。</w:t>
      </w:r>
    </w:p>
    <w:p>
      <w:pPr>
        <w:spacing w:line="400" w:lineRule="exact"/>
        <w:ind w:firstLine="418" w:firstLineChars="190"/>
        <w:rPr>
          <w:rFonts w:ascii="宋体" w:hAnsi="宋体"/>
          <w:color w:val="auto"/>
          <w:sz w:val="22"/>
          <w:highlight w:val="none"/>
        </w:rPr>
      </w:pPr>
      <w:r>
        <w:rPr>
          <w:rFonts w:hint="eastAsia" w:ascii="宋体" w:hAnsi="宋体"/>
          <w:color w:val="auto"/>
          <w:sz w:val="22"/>
          <w:highlight w:val="none"/>
        </w:rPr>
        <w:t>通知强调，要以习近平新时代中国特色社会主义思想为指导，深入学习宣传贯彻党的十九大和十九届二中、三中、四中全会精神，深入学习贯彻习近平总书记关于安全生产重要论述，贯彻落实党中央、国务院关于安全生产重大决策部署，着眼加强疫情防控常态化条件下安全生产和专项整治三年行动排查整治工作，推动各级树牢安全发展理念，压紧压实安全生产责任，深入排查安全风险隐患，扎实推进问题整改，坚决遏制重特大事故发生，切实维护人民群众生命财产安全。</w:t>
      </w:r>
    </w:p>
    <w:p>
      <w:pPr>
        <w:spacing w:line="400" w:lineRule="exact"/>
        <w:ind w:firstLine="418" w:firstLineChars="190"/>
        <w:rPr>
          <w:rFonts w:ascii="宋体" w:hAnsi="宋体"/>
          <w:color w:val="auto"/>
          <w:sz w:val="22"/>
          <w:highlight w:val="none"/>
        </w:rPr>
      </w:pPr>
      <w:r>
        <w:rPr>
          <w:rFonts w:hint="eastAsia" w:ascii="宋体" w:hAnsi="宋体"/>
          <w:color w:val="auto"/>
          <w:sz w:val="22"/>
          <w:highlight w:val="none"/>
        </w:rPr>
        <w:t>为确保活动有力有序有效开展，推动安全生产水平提升和形势持续稳定向好，为决胜全面建成小康社会、决战脱贫攻坚营造稳定的安全生产环境。众物物流开展“排查整治进行时”专题活动，紧密结合《全国安全生产专项整治三年行动计划》相关任务，通过示范引领和警示教育，推动企业和基层组织等全面深入排查整治，从源头上防范生产安全事故发生。做为仓储主管小王，深入仓库进行隐患排查，根据作业场所的实际情况，按照GB2894及企业内部规定，在有较大危险因素的作业场所和设备设施上，设置明显的安全警示标志，进行危险提示、警示，告知危险的种类、后果及应急措施等。由于仓库业务调整，部分标志未完全设置到位，请你根据下图作业场景，帮助王主管在合适的位置设置相应的标志。</w:t>
      </w:r>
    </w:p>
    <w:p>
      <w:pPr>
        <w:spacing w:line="400" w:lineRule="exact"/>
        <w:ind w:firstLine="418" w:firstLineChars="190"/>
        <w:rPr>
          <w:rFonts w:ascii="宋体" w:hAnsi="宋体"/>
          <w:color w:val="auto"/>
          <w:sz w:val="22"/>
          <w:highlight w:val="none"/>
        </w:rPr>
      </w:pPr>
      <w:r>
        <w:rPr>
          <w:rFonts w:hint="eastAsia" w:ascii="宋体" w:hAnsi="宋体"/>
          <w:color w:val="auto"/>
          <w:sz w:val="22"/>
          <w:highlight w:val="none"/>
        </w:rPr>
        <w:t>注：本案例为虚构，相关内容仅用于认证测试。</w:t>
      </w:r>
    </w:p>
    <w:p>
      <w:pPr>
        <w:spacing w:line="360" w:lineRule="auto"/>
        <w:rPr>
          <w:color w:val="auto"/>
          <w:highlight w:val="none"/>
        </w:rPr>
      </w:pPr>
      <w:r>
        <w:rPr>
          <w:color w:val="auto"/>
          <w:highlight w:val="none"/>
        </w:rPr>
        <w:drawing>
          <wp:inline distT="0" distB="0" distL="114300" distR="114300">
            <wp:extent cx="5266690" cy="2872105"/>
            <wp:effectExtent l="0" t="0" r="0" b="444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9"/>
                    <a:stretch>
                      <a:fillRect/>
                    </a:stretch>
                  </pic:blipFill>
                  <pic:spPr>
                    <a:xfrm>
                      <a:off x="0" y="0"/>
                      <a:ext cx="5271135" cy="2874743"/>
                    </a:xfrm>
                    <a:prstGeom prst="rect">
                      <a:avLst/>
                    </a:prstGeom>
                    <a:noFill/>
                    <a:ln>
                      <a:noFill/>
                    </a:ln>
                  </pic:spPr>
                </pic:pic>
              </a:graphicData>
            </a:graphic>
          </wp:inline>
        </w:drawing>
      </w:r>
    </w:p>
    <w:p>
      <w:pPr>
        <w:spacing w:line="400" w:lineRule="exact"/>
        <w:jc w:val="center"/>
        <w:rPr>
          <w:rFonts w:ascii="宋体" w:hAnsi="宋体"/>
          <w:color w:val="auto"/>
          <w:sz w:val="22"/>
          <w:highlight w:val="none"/>
        </w:rPr>
      </w:pPr>
      <w:r>
        <w:rPr>
          <w:rFonts w:hint="eastAsia" w:ascii="宋体" w:hAnsi="宋体"/>
          <w:color w:val="auto"/>
          <w:sz w:val="22"/>
          <w:highlight w:val="none"/>
        </w:rPr>
        <w:t>图1  仓库作业环境图</w:t>
      </w:r>
    </w:p>
    <w:p>
      <w:pPr>
        <w:pStyle w:val="13"/>
        <w:spacing w:line="400" w:lineRule="exact"/>
        <w:ind w:firstLine="440"/>
        <w:rPr>
          <w:rFonts w:ascii="宋体" w:hAnsi="宋体"/>
          <w:color w:val="auto"/>
          <w:sz w:val="22"/>
          <w:highlight w:val="none"/>
        </w:rPr>
      </w:pPr>
      <w:r>
        <w:rPr>
          <w:rFonts w:hint="eastAsia" w:ascii="宋体" w:hAnsi="宋体"/>
          <w:color w:val="auto"/>
          <w:sz w:val="22"/>
          <w:highlight w:val="none"/>
        </w:rPr>
        <w:t>根据作业安全相关性和安全色标与安全标志知识，请从下面标示中选出6个最合适的标志，填入表1括号内。</w:t>
      </w:r>
    </w:p>
    <w:p>
      <w:pPr>
        <w:spacing w:line="360" w:lineRule="auto"/>
        <w:ind w:firstLine="420" w:firstLineChars="200"/>
        <w:rPr>
          <w:color w:val="auto"/>
          <w:highlight w:val="none"/>
        </w:rPr>
      </w:pPr>
      <w:r>
        <w:rPr>
          <w:color w:val="auto"/>
          <w:highlight w:val="none"/>
        </w:rPr>
        <w:drawing>
          <wp:inline distT="0" distB="0" distL="114300" distR="114300">
            <wp:extent cx="1062355" cy="1049655"/>
            <wp:effectExtent l="0" t="0" r="4445" b="444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10"/>
                    <a:stretch>
                      <a:fillRect/>
                    </a:stretch>
                  </pic:blipFill>
                  <pic:spPr>
                    <a:xfrm>
                      <a:off x="0" y="0"/>
                      <a:ext cx="1062355" cy="1049655"/>
                    </a:xfrm>
                    <a:prstGeom prst="rect">
                      <a:avLst/>
                    </a:prstGeom>
                    <a:noFill/>
                    <a:ln>
                      <a:noFill/>
                    </a:ln>
                  </pic:spPr>
                </pic:pic>
              </a:graphicData>
            </a:graphic>
          </wp:inline>
        </w:drawing>
      </w:r>
      <w:r>
        <w:rPr>
          <w:color w:val="auto"/>
          <w:highlight w:val="none"/>
        </w:rPr>
        <w:drawing>
          <wp:inline distT="0" distB="0" distL="114300" distR="114300">
            <wp:extent cx="1037590" cy="1062990"/>
            <wp:effectExtent l="0" t="0" r="3810" b="381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11"/>
                    <a:stretch>
                      <a:fillRect/>
                    </a:stretch>
                  </pic:blipFill>
                  <pic:spPr>
                    <a:xfrm>
                      <a:off x="0" y="0"/>
                      <a:ext cx="1037590" cy="1062990"/>
                    </a:xfrm>
                    <a:prstGeom prst="rect">
                      <a:avLst/>
                    </a:prstGeom>
                    <a:noFill/>
                    <a:ln>
                      <a:noFill/>
                    </a:ln>
                  </pic:spPr>
                </pic:pic>
              </a:graphicData>
            </a:graphic>
          </wp:inline>
        </w:drawing>
      </w:r>
      <w:r>
        <w:rPr>
          <w:color w:val="auto"/>
          <w:highlight w:val="none"/>
        </w:rPr>
        <w:drawing>
          <wp:inline distT="0" distB="0" distL="114300" distR="114300">
            <wp:extent cx="1024890" cy="1045845"/>
            <wp:effectExtent l="0" t="0" r="3810" b="8255"/>
            <wp:docPr id="172" name="图片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图片 172"/>
                    <pic:cNvPicPr>
                      <a:picLocks noChangeAspect="1"/>
                    </pic:cNvPicPr>
                  </pic:nvPicPr>
                  <pic:blipFill>
                    <a:blip r:embed="rId12"/>
                    <a:stretch>
                      <a:fillRect/>
                    </a:stretch>
                  </pic:blipFill>
                  <pic:spPr>
                    <a:xfrm>
                      <a:off x="0" y="0"/>
                      <a:ext cx="1024890" cy="1045845"/>
                    </a:xfrm>
                    <a:prstGeom prst="rect">
                      <a:avLst/>
                    </a:prstGeom>
                    <a:noFill/>
                    <a:ln>
                      <a:noFill/>
                    </a:ln>
                  </pic:spPr>
                </pic:pic>
              </a:graphicData>
            </a:graphic>
          </wp:inline>
        </w:drawing>
      </w:r>
      <w:r>
        <w:rPr>
          <w:color w:val="auto"/>
          <w:highlight w:val="none"/>
        </w:rPr>
        <w:drawing>
          <wp:inline distT="0" distB="0" distL="114300" distR="114300">
            <wp:extent cx="978535" cy="1008380"/>
            <wp:effectExtent l="0" t="0" r="12065" b="762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3"/>
                    <a:stretch>
                      <a:fillRect/>
                    </a:stretch>
                  </pic:blipFill>
                  <pic:spPr>
                    <a:xfrm>
                      <a:off x="0" y="0"/>
                      <a:ext cx="978535" cy="1008380"/>
                    </a:xfrm>
                    <a:prstGeom prst="rect">
                      <a:avLst/>
                    </a:prstGeom>
                    <a:noFill/>
                    <a:ln>
                      <a:noFill/>
                    </a:ln>
                  </pic:spPr>
                </pic:pic>
              </a:graphicData>
            </a:graphic>
          </wp:inline>
        </w:drawing>
      </w:r>
    </w:p>
    <w:p>
      <w:pPr>
        <w:spacing w:line="360" w:lineRule="auto"/>
        <w:ind w:firstLine="1121" w:firstLineChars="400"/>
        <w:rPr>
          <w:rFonts w:ascii="微软雅黑" w:hAnsi="微软雅黑" w:eastAsia="微软雅黑" w:cs="微软雅黑"/>
          <w:b/>
          <w:bCs/>
          <w:color w:val="auto"/>
          <w:sz w:val="28"/>
          <w:szCs w:val="28"/>
          <w:highlight w:val="none"/>
        </w:rPr>
      </w:pPr>
      <w:r>
        <w:rPr>
          <w:rFonts w:hint="eastAsia" w:ascii="微软雅黑" w:hAnsi="微软雅黑" w:eastAsia="微软雅黑" w:cs="微软雅黑"/>
          <w:b/>
          <w:bCs/>
          <w:color w:val="auto"/>
          <w:sz w:val="28"/>
          <w:szCs w:val="28"/>
          <w:highlight w:val="none"/>
        </w:rPr>
        <w:t>A           B          C         D</w:t>
      </w:r>
    </w:p>
    <w:p>
      <w:pPr>
        <w:spacing w:line="360" w:lineRule="auto"/>
        <w:ind w:firstLine="420" w:firstLineChars="200"/>
        <w:rPr>
          <w:color w:val="auto"/>
          <w:highlight w:val="none"/>
        </w:rPr>
      </w:pPr>
      <w:r>
        <w:rPr>
          <w:color w:val="auto"/>
          <w:highlight w:val="none"/>
        </w:rPr>
        <w:drawing>
          <wp:inline distT="0" distB="0" distL="114300" distR="114300">
            <wp:extent cx="955675" cy="840105"/>
            <wp:effectExtent l="0" t="0" r="9525" b="10795"/>
            <wp:docPr id="173" name="图片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 name="图片 173"/>
                    <pic:cNvPicPr>
                      <a:picLocks noChangeAspect="1"/>
                    </pic:cNvPicPr>
                  </pic:nvPicPr>
                  <pic:blipFill>
                    <a:blip r:embed="rId14"/>
                    <a:stretch>
                      <a:fillRect/>
                    </a:stretch>
                  </pic:blipFill>
                  <pic:spPr>
                    <a:xfrm>
                      <a:off x="0" y="0"/>
                      <a:ext cx="955675" cy="840105"/>
                    </a:xfrm>
                    <a:prstGeom prst="rect">
                      <a:avLst/>
                    </a:prstGeom>
                    <a:noFill/>
                    <a:ln>
                      <a:noFill/>
                    </a:ln>
                  </pic:spPr>
                </pic:pic>
              </a:graphicData>
            </a:graphic>
          </wp:inline>
        </w:drawing>
      </w:r>
      <w:r>
        <w:rPr>
          <w:color w:val="auto"/>
          <w:highlight w:val="none"/>
        </w:rPr>
        <w:drawing>
          <wp:inline distT="0" distB="0" distL="114300" distR="114300">
            <wp:extent cx="966470" cy="849630"/>
            <wp:effectExtent l="0" t="0" r="11430" b="1270"/>
            <wp:docPr id="174" name="图片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图片 174"/>
                    <pic:cNvPicPr>
                      <a:picLocks noChangeAspect="1"/>
                    </pic:cNvPicPr>
                  </pic:nvPicPr>
                  <pic:blipFill>
                    <a:blip r:embed="rId15"/>
                    <a:stretch>
                      <a:fillRect/>
                    </a:stretch>
                  </pic:blipFill>
                  <pic:spPr>
                    <a:xfrm>
                      <a:off x="0" y="0"/>
                      <a:ext cx="966470" cy="849630"/>
                    </a:xfrm>
                    <a:prstGeom prst="rect">
                      <a:avLst/>
                    </a:prstGeom>
                    <a:noFill/>
                    <a:ln>
                      <a:noFill/>
                    </a:ln>
                  </pic:spPr>
                </pic:pic>
              </a:graphicData>
            </a:graphic>
          </wp:inline>
        </w:drawing>
      </w:r>
      <w:r>
        <w:rPr>
          <w:color w:val="auto"/>
          <w:highlight w:val="none"/>
        </w:rPr>
        <w:drawing>
          <wp:inline distT="0" distB="0" distL="114300" distR="114300">
            <wp:extent cx="869950" cy="787400"/>
            <wp:effectExtent l="0" t="0" r="6350" b="0"/>
            <wp:docPr id="175" name="图片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 name="图片 175"/>
                    <pic:cNvPicPr>
                      <a:picLocks noChangeAspect="1"/>
                    </pic:cNvPicPr>
                  </pic:nvPicPr>
                  <pic:blipFill>
                    <a:blip r:embed="rId16"/>
                    <a:stretch>
                      <a:fillRect/>
                    </a:stretch>
                  </pic:blipFill>
                  <pic:spPr>
                    <a:xfrm>
                      <a:off x="0" y="0"/>
                      <a:ext cx="869950" cy="787400"/>
                    </a:xfrm>
                    <a:prstGeom prst="rect">
                      <a:avLst/>
                    </a:prstGeom>
                    <a:noFill/>
                    <a:ln>
                      <a:noFill/>
                    </a:ln>
                  </pic:spPr>
                </pic:pic>
              </a:graphicData>
            </a:graphic>
          </wp:inline>
        </w:drawing>
      </w:r>
      <w:r>
        <w:rPr>
          <w:color w:val="auto"/>
          <w:highlight w:val="none"/>
        </w:rPr>
        <w:drawing>
          <wp:inline distT="0" distB="0" distL="114300" distR="114300">
            <wp:extent cx="941705" cy="838200"/>
            <wp:effectExtent l="0" t="0" r="10795" b="0"/>
            <wp:docPr id="176" name="图片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图片 176"/>
                    <pic:cNvPicPr>
                      <a:picLocks noChangeAspect="1"/>
                    </pic:cNvPicPr>
                  </pic:nvPicPr>
                  <pic:blipFill>
                    <a:blip r:embed="rId17"/>
                    <a:stretch>
                      <a:fillRect/>
                    </a:stretch>
                  </pic:blipFill>
                  <pic:spPr>
                    <a:xfrm>
                      <a:off x="0" y="0"/>
                      <a:ext cx="941705" cy="838200"/>
                    </a:xfrm>
                    <a:prstGeom prst="rect">
                      <a:avLst/>
                    </a:prstGeom>
                    <a:noFill/>
                    <a:ln>
                      <a:noFill/>
                    </a:ln>
                  </pic:spPr>
                </pic:pic>
              </a:graphicData>
            </a:graphic>
          </wp:inline>
        </w:drawing>
      </w:r>
    </w:p>
    <w:p>
      <w:pPr>
        <w:spacing w:line="360" w:lineRule="auto"/>
        <w:ind w:firstLine="1121" w:firstLineChars="400"/>
        <w:rPr>
          <w:rFonts w:ascii="微软雅黑" w:hAnsi="微软雅黑" w:eastAsia="微软雅黑" w:cs="微软雅黑"/>
          <w:b/>
          <w:bCs/>
          <w:color w:val="auto"/>
          <w:sz w:val="28"/>
          <w:szCs w:val="28"/>
          <w:highlight w:val="none"/>
        </w:rPr>
      </w:pPr>
      <w:r>
        <w:rPr>
          <w:rFonts w:hint="eastAsia" w:ascii="微软雅黑" w:hAnsi="微软雅黑" w:eastAsia="微软雅黑" w:cs="微软雅黑"/>
          <w:b/>
          <w:bCs/>
          <w:color w:val="auto"/>
          <w:sz w:val="28"/>
          <w:szCs w:val="28"/>
          <w:highlight w:val="none"/>
        </w:rPr>
        <w:t>E          F         G         H</w:t>
      </w:r>
    </w:p>
    <w:p>
      <w:pPr>
        <w:spacing w:line="360" w:lineRule="auto"/>
        <w:ind w:firstLine="420" w:firstLineChars="200"/>
        <w:rPr>
          <w:color w:val="auto"/>
          <w:highlight w:val="none"/>
        </w:rPr>
      </w:pPr>
      <w:r>
        <w:rPr>
          <w:color w:val="auto"/>
          <w:highlight w:val="none"/>
        </w:rPr>
        <w:drawing>
          <wp:inline distT="0" distB="0" distL="114300" distR="114300">
            <wp:extent cx="1015365" cy="922020"/>
            <wp:effectExtent l="0" t="0" r="635" b="5080"/>
            <wp:docPr id="17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 name="图片 12"/>
                    <pic:cNvPicPr>
                      <a:picLocks noChangeAspect="1"/>
                    </pic:cNvPicPr>
                  </pic:nvPicPr>
                  <pic:blipFill>
                    <a:blip r:embed="rId18"/>
                    <a:stretch>
                      <a:fillRect/>
                    </a:stretch>
                  </pic:blipFill>
                  <pic:spPr>
                    <a:xfrm>
                      <a:off x="0" y="0"/>
                      <a:ext cx="1015365" cy="922020"/>
                    </a:xfrm>
                    <a:prstGeom prst="rect">
                      <a:avLst/>
                    </a:prstGeom>
                    <a:noFill/>
                    <a:ln>
                      <a:noFill/>
                    </a:ln>
                  </pic:spPr>
                </pic:pic>
              </a:graphicData>
            </a:graphic>
          </wp:inline>
        </w:drawing>
      </w:r>
      <w:r>
        <w:rPr>
          <w:color w:val="auto"/>
          <w:highlight w:val="none"/>
        </w:rPr>
        <w:drawing>
          <wp:inline distT="0" distB="0" distL="114300" distR="114300">
            <wp:extent cx="831215" cy="836930"/>
            <wp:effectExtent l="0" t="0" r="6985" b="1270"/>
            <wp:docPr id="178"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图片 15"/>
                    <pic:cNvPicPr>
                      <a:picLocks noChangeAspect="1"/>
                    </pic:cNvPicPr>
                  </pic:nvPicPr>
                  <pic:blipFill>
                    <a:blip r:embed="rId19"/>
                    <a:stretch>
                      <a:fillRect/>
                    </a:stretch>
                  </pic:blipFill>
                  <pic:spPr>
                    <a:xfrm>
                      <a:off x="0" y="0"/>
                      <a:ext cx="831215" cy="836930"/>
                    </a:xfrm>
                    <a:prstGeom prst="rect">
                      <a:avLst/>
                    </a:prstGeom>
                    <a:noFill/>
                    <a:ln>
                      <a:noFill/>
                    </a:ln>
                  </pic:spPr>
                </pic:pic>
              </a:graphicData>
            </a:graphic>
          </wp:inline>
        </w:drawing>
      </w:r>
      <w:r>
        <w:rPr>
          <w:color w:val="auto"/>
          <w:highlight w:val="none"/>
        </w:rPr>
        <w:drawing>
          <wp:inline distT="0" distB="0" distL="114300" distR="114300">
            <wp:extent cx="822960" cy="808355"/>
            <wp:effectExtent l="0" t="0" r="2540" b="4445"/>
            <wp:docPr id="179" name="图片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 name="图片 179"/>
                    <pic:cNvPicPr>
                      <a:picLocks noChangeAspect="1"/>
                    </pic:cNvPicPr>
                  </pic:nvPicPr>
                  <pic:blipFill>
                    <a:blip r:embed="rId20"/>
                    <a:stretch>
                      <a:fillRect/>
                    </a:stretch>
                  </pic:blipFill>
                  <pic:spPr>
                    <a:xfrm>
                      <a:off x="0" y="0"/>
                      <a:ext cx="822960" cy="808355"/>
                    </a:xfrm>
                    <a:prstGeom prst="rect">
                      <a:avLst/>
                    </a:prstGeom>
                    <a:noFill/>
                    <a:ln>
                      <a:noFill/>
                    </a:ln>
                  </pic:spPr>
                </pic:pic>
              </a:graphicData>
            </a:graphic>
          </wp:inline>
        </w:drawing>
      </w:r>
      <w:r>
        <w:rPr>
          <w:color w:val="auto"/>
          <w:highlight w:val="none"/>
        </w:rPr>
        <w:drawing>
          <wp:inline distT="0" distB="0" distL="114300" distR="114300">
            <wp:extent cx="1229360" cy="779780"/>
            <wp:effectExtent l="0" t="0" r="2540" b="7620"/>
            <wp:docPr id="180"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图片 13"/>
                    <pic:cNvPicPr>
                      <a:picLocks noChangeAspect="1"/>
                    </pic:cNvPicPr>
                  </pic:nvPicPr>
                  <pic:blipFill>
                    <a:blip r:embed="rId21"/>
                    <a:stretch>
                      <a:fillRect/>
                    </a:stretch>
                  </pic:blipFill>
                  <pic:spPr>
                    <a:xfrm>
                      <a:off x="0" y="0"/>
                      <a:ext cx="1229360" cy="779780"/>
                    </a:xfrm>
                    <a:prstGeom prst="rect">
                      <a:avLst/>
                    </a:prstGeom>
                    <a:noFill/>
                    <a:ln>
                      <a:noFill/>
                    </a:ln>
                  </pic:spPr>
                </pic:pic>
              </a:graphicData>
            </a:graphic>
          </wp:inline>
        </w:drawing>
      </w:r>
    </w:p>
    <w:p>
      <w:pPr>
        <w:spacing w:line="360" w:lineRule="auto"/>
        <w:ind w:firstLine="1121" w:firstLineChars="400"/>
        <w:rPr>
          <w:rFonts w:ascii="微软雅黑" w:hAnsi="微软雅黑" w:eastAsia="微软雅黑" w:cs="微软雅黑"/>
          <w:b/>
          <w:bCs/>
          <w:color w:val="auto"/>
          <w:sz w:val="28"/>
          <w:szCs w:val="28"/>
          <w:highlight w:val="none"/>
        </w:rPr>
      </w:pPr>
      <w:r>
        <w:rPr>
          <w:rFonts w:hint="eastAsia" w:ascii="微软雅黑" w:hAnsi="微软雅黑" w:eastAsia="微软雅黑" w:cs="微软雅黑"/>
          <w:b/>
          <w:bCs/>
          <w:color w:val="auto"/>
          <w:sz w:val="28"/>
          <w:szCs w:val="28"/>
          <w:highlight w:val="none"/>
        </w:rPr>
        <w:t>I          J         K         L</w:t>
      </w:r>
    </w:p>
    <w:p>
      <w:pPr>
        <w:pStyle w:val="13"/>
        <w:spacing w:line="400" w:lineRule="exact"/>
        <w:ind w:firstLine="440"/>
        <w:jc w:val="center"/>
        <w:rPr>
          <w:rFonts w:ascii="宋体" w:hAnsi="宋体"/>
          <w:color w:val="auto"/>
          <w:sz w:val="22"/>
          <w:highlight w:val="none"/>
        </w:rPr>
      </w:pPr>
      <w:r>
        <w:rPr>
          <w:rFonts w:hint="eastAsia" w:ascii="宋体" w:hAnsi="宋体"/>
          <w:color w:val="auto"/>
          <w:sz w:val="22"/>
          <w:highlight w:val="none"/>
        </w:rPr>
        <w:t>表1 答题表（每空2分）</w:t>
      </w:r>
    </w:p>
    <w:tbl>
      <w:tblPr>
        <w:tblStyle w:val="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418"/>
        <w:gridCol w:w="34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9" w:hRule="atLeast"/>
          <w:jc w:val="center"/>
        </w:trPr>
        <w:tc>
          <w:tcPr>
            <w:tcW w:w="3418" w:type="dxa"/>
            <w:vAlign w:val="center"/>
          </w:tcPr>
          <w:p>
            <w:pPr>
              <w:pStyle w:val="13"/>
              <w:spacing w:line="400" w:lineRule="exact"/>
              <w:ind w:firstLine="440"/>
              <w:jc w:val="center"/>
              <w:rPr>
                <w:rFonts w:ascii="宋体" w:hAnsi="宋体"/>
                <w:color w:val="auto"/>
                <w:sz w:val="22"/>
                <w:highlight w:val="none"/>
              </w:rPr>
            </w:pPr>
            <w:r>
              <w:rPr>
                <w:rFonts w:hint="eastAsia" w:ascii="宋体" w:hAnsi="宋体"/>
                <w:color w:val="auto"/>
                <w:sz w:val="22"/>
                <w:highlight w:val="none"/>
              </w:rPr>
              <w:t>图1相应位置编号</w:t>
            </w:r>
          </w:p>
        </w:tc>
        <w:tc>
          <w:tcPr>
            <w:tcW w:w="3418" w:type="dxa"/>
            <w:vAlign w:val="center"/>
          </w:tcPr>
          <w:p>
            <w:pPr>
              <w:pStyle w:val="13"/>
              <w:spacing w:line="400" w:lineRule="exact"/>
              <w:ind w:firstLine="440"/>
              <w:jc w:val="center"/>
              <w:rPr>
                <w:rFonts w:ascii="宋体" w:hAnsi="宋体"/>
                <w:color w:val="auto"/>
                <w:sz w:val="22"/>
                <w:highlight w:val="none"/>
              </w:rPr>
            </w:pPr>
            <w:r>
              <w:rPr>
                <w:rFonts w:hint="eastAsia" w:ascii="宋体" w:hAnsi="宋体"/>
                <w:color w:val="auto"/>
                <w:sz w:val="22"/>
                <w:highlight w:val="none"/>
              </w:rPr>
              <w:t>安全标识（填入字母）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3" w:hRule="atLeast"/>
          <w:jc w:val="center"/>
        </w:trPr>
        <w:tc>
          <w:tcPr>
            <w:tcW w:w="3418" w:type="dxa"/>
            <w:vAlign w:val="center"/>
          </w:tcPr>
          <w:p>
            <w:pPr>
              <w:spacing w:line="400" w:lineRule="exact"/>
              <w:jc w:val="center"/>
              <w:rPr>
                <w:rFonts w:ascii="宋体" w:hAnsi="宋体"/>
                <w:color w:val="auto"/>
                <w:sz w:val="22"/>
                <w:highlight w:val="none"/>
              </w:rPr>
            </w:pPr>
            <w:r>
              <w:rPr>
                <w:color w:val="auto"/>
                <w:highlight w:val="none"/>
              </w:rPr>
              <w:drawing>
                <wp:anchor distT="0" distB="0" distL="114300" distR="114300" simplePos="0" relativeHeight="251660288" behindDoc="0" locked="0" layoutInCell="1" allowOverlap="1">
                  <wp:simplePos x="0" y="0"/>
                  <wp:positionH relativeFrom="column">
                    <wp:posOffset>905510</wp:posOffset>
                  </wp:positionH>
                  <wp:positionV relativeFrom="paragraph">
                    <wp:posOffset>-431800</wp:posOffset>
                  </wp:positionV>
                  <wp:extent cx="494665" cy="437515"/>
                  <wp:effectExtent l="0" t="0" r="635" b="635"/>
                  <wp:wrapTopAndBottom/>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494665" cy="437515"/>
                          </a:xfrm>
                          <a:prstGeom prst="rect">
                            <a:avLst/>
                          </a:prstGeom>
                        </pic:spPr>
                      </pic:pic>
                    </a:graphicData>
                  </a:graphic>
                </wp:anchor>
              </w:drawing>
            </w:r>
          </w:p>
        </w:tc>
        <w:tc>
          <w:tcPr>
            <w:tcW w:w="3418" w:type="dxa"/>
            <w:vAlign w:val="center"/>
          </w:tcPr>
          <w:p>
            <w:pPr>
              <w:spacing w:line="400" w:lineRule="exact"/>
              <w:jc w:val="center"/>
              <w:rPr>
                <w:rFonts w:ascii="宋体" w:hAnsi="宋体"/>
                <w:color w:val="auto"/>
                <w:sz w:val="22"/>
                <w:highlight w:val="none"/>
              </w:rPr>
            </w:pPr>
            <w:r>
              <w:rPr>
                <w:rFonts w:hint="eastAsia" w:ascii="宋体" w:hAnsi="宋体"/>
                <w:color w:val="auto"/>
                <w:sz w:val="22"/>
                <w:highlight w:val="none"/>
              </w:rPr>
              <w:t xml:space="preserve">（    </w:t>
            </w:r>
            <w:r>
              <w:rPr>
                <w:rFonts w:ascii="宋体" w:hAnsi="宋体"/>
                <w:color w:val="auto"/>
                <w:sz w:val="22"/>
                <w:highlight w:val="none"/>
              </w:rPr>
              <w:t>C</w:t>
            </w:r>
            <w:r>
              <w:rPr>
                <w:rFonts w:hint="eastAsia" w:ascii="宋体" w:hAnsi="宋体"/>
                <w:color w:val="auto"/>
                <w:sz w:val="22"/>
                <w:highlight w:val="none"/>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3" w:hRule="atLeast"/>
          <w:jc w:val="center"/>
        </w:trPr>
        <w:tc>
          <w:tcPr>
            <w:tcW w:w="3418" w:type="dxa"/>
            <w:vAlign w:val="center"/>
          </w:tcPr>
          <w:p>
            <w:pPr>
              <w:pStyle w:val="13"/>
              <w:spacing w:line="400" w:lineRule="exact"/>
              <w:jc w:val="center"/>
              <w:rPr>
                <w:rFonts w:ascii="宋体" w:hAnsi="宋体"/>
                <w:color w:val="auto"/>
                <w:sz w:val="22"/>
                <w:highlight w:val="none"/>
              </w:rPr>
            </w:pPr>
            <w:r>
              <w:rPr>
                <w:color w:val="auto"/>
                <w:highlight w:val="none"/>
              </w:rPr>
              <w:drawing>
                <wp:anchor distT="0" distB="0" distL="114300" distR="114300" simplePos="0" relativeHeight="251661312" behindDoc="1" locked="0" layoutInCell="1" allowOverlap="1">
                  <wp:simplePos x="0" y="0"/>
                  <wp:positionH relativeFrom="column">
                    <wp:posOffset>929005</wp:posOffset>
                  </wp:positionH>
                  <wp:positionV relativeFrom="paragraph">
                    <wp:posOffset>-413385</wp:posOffset>
                  </wp:positionV>
                  <wp:extent cx="475615" cy="418465"/>
                  <wp:effectExtent l="0" t="0" r="635" b="635"/>
                  <wp:wrapTopAndBottom/>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0"/>
                            <a:ext cx="475615" cy="418465"/>
                          </a:xfrm>
                          <a:prstGeom prst="rect">
                            <a:avLst/>
                          </a:prstGeom>
                        </pic:spPr>
                      </pic:pic>
                    </a:graphicData>
                  </a:graphic>
                </wp:anchor>
              </w:drawing>
            </w:r>
          </w:p>
        </w:tc>
        <w:tc>
          <w:tcPr>
            <w:tcW w:w="3418" w:type="dxa"/>
            <w:vAlign w:val="center"/>
          </w:tcPr>
          <w:p>
            <w:pPr>
              <w:spacing w:line="400" w:lineRule="exact"/>
              <w:jc w:val="center"/>
              <w:rPr>
                <w:rFonts w:ascii="宋体" w:hAnsi="宋体"/>
                <w:color w:val="auto"/>
                <w:sz w:val="22"/>
                <w:highlight w:val="none"/>
              </w:rPr>
            </w:pPr>
            <w:r>
              <w:rPr>
                <w:rFonts w:hint="eastAsia" w:ascii="宋体" w:hAnsi="宋体"/>
                <w:color w:val="auto"/>
                <w:sz w:val="22"/>
                <w:highlight w:val="none"/>
              </w:rPr>
              <w:t xml:space="preserve">（    </w:t>
            </w:r>
            <w:r>
              <w:rPr>
                <w:rFonts w:ascii="宋体" w:hAnsi="宋体"/>
                <w:color w:val="auto"/>
                <w:sz w:val="22"/>
                <w:highlight w:val="none"/>
              </w:rPr>
              <w:t>D</w:t>
            </w:r>
            <w:r>
              <w:rPr>
                <w:rFonts w:hint="eastAsia" w:ascii="宋体" w:hAnsi="宋体"/>
                <w:color w:val="auto"/>
                <w:sz w:val="22"/>
                <w:highlight w:val="none"/>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9" w:hRule="atLeast"/>
          <w:jc w:val="center"/>
        </w:trPr>
        <w:tc>
          <w:tcPr>
            <w:tcW w:w="3418" w:type="dxa"/>
            <w:vAlign w:val="center"/>
          </w:tcPr>
          <w:p>
            <w:pPr>
              <w:pStyle w:val="13"/>
              <w:spacing w:line="400" w:lineRule="exact"/>
              <w:jc w:val="center"/>
              <w:rPr>
                <w:rFonts w:ascii="宋体" w:hAnsi="宋体"/>
                <w:color w:val="auto"/>
                <w:sz w:val="22"/>
                <w:highlight w:val="none"/>
              </w:rPr>
            </w:pPr>
            <w:r>
              <w:rPr>
                <w:color w:val="auto"/>
                <w:highlight w:val="none"/>
              </w:rPr>
              <w:drawing>
                <wp:anchor distT="0" distB="0" distL="114300" distR="114300" simplePos="0" relativeHeight="251662336" behindDoc="0" locked="0" layoutInCell="1" allowOverlap="1">
                  <wp:simplePos x="0" y="0"/>
                  <wp:positionH relativeFrom="column">
                    <wp:posOffset>946785</wp:posOffset>
                  </wp:positionH>
                  <wp:positionV relativeFrom="paragraph">
                    <wp:posOffset>-424180</wp:posOffset>
                  </wp:positionV>
                  <wp:extent cx="456565" cy="427990"/>
                  <wp:effectExtent l="0" t="0" r="635" b="0"/>
                  <wp:wrapTopAndBottom/>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456565" cy="427990"/>
                          </a:xfrm>
                          <a:prstGeom prst="rect">
                            <a:avLst/>
                          </a:prstGeom>
                        </pic:spPr>
                      </pic:pic>
                    </a:graphicData>
                  </a:graphic>
                </wp:anchor>
              </w:drawing>
            </w:r>
          </w:p>
        </w:tc>
        <w:tc>
          <w:tcPr>
            <w:tcW w:w="3418" w:type="dxa"/>
            <w:vAlign w:val="center"/>
          </w:tcPr>
          <w:p>
            <w:pPr>
              <w:spacing w:line="400" w:lineRule="exact"/>
              <w:jc w:val="center"/>
              <w:rPr>
                <w:rFonts w:ascii="宋体" w:hAnsi="宋体"/>
                <w:color w:val="auto"/>
                <w:sz w:val="22"/>
                <w:highlight w:val="none"/>
              </w:rPr>
            </w:pPr>
            <w:r>
              <w:rPr>
                <w:rFonts w:hint="eastAsia" w:ascii="宋体" w:hAnsi="宋体"/>
                <w:color w:val="auto"/>
                <w:sz w:val="22"/>
                <w:highlight w:val="none"/>
              </w:rPr>
              <w:t xml:space="preserve">（    </w:t>
            </w:r>
            <w:r>
              <w:rPr>
                <w:rFonts w:ascii="宋体" w:hAnsi="宋体"/>
                <w:color w:val="auto"/>
                <w:sz w:val="22"/>
                <w:highlight w:val="none"/>
              </w:rPr>
              <w:t>E</w:t>
            </w:r>
            <w:r>
              <w:rPr>
                <w:rFonts w:hint="eastAsia" w:ascii="宋体" w:hAnsi="宋体"/>
                <w:color w:val="auto"/>
                <w:sz w:val="22"/>
                <w:highlight w:val="none"/>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9" w:hRule="atLeast"/>
          <w:jc w:val="center"/>
        </w:trPr>
        <w:tc>
          <w:tcPr>
            <w:tcW w:w="3418" w:type="dxa"/>
            <w:vAlign w:val="center"/>
          </w:tcPr>
          <w:p>
            <w:pPr>
              <w:pStyle w:val="13"/>
              <w:spacing w:line="400" w:lineRule="exact"/>
              <w:jc w:val="center"/>
              <w:rPr>
                <w:color w:val="auto"/>
                <w:highlight w:val="none"/>
              </w:rPr>
            </w:pPr>
            <w:r>
              <w:rPr>
                <w:color w:val="auto"/>
                <w:highlight w:val="none"/>
              </w:rPr>
              <w:drawing>
                <wp:anchor distT="0" distB="0" distL="114300" distR="114300" simplePos="0" relativeHeight="251663360" behindDoc="0" locked="0" layoutInCell="1" allowOverlap="1">
                  <wp:simplePos x="0" y="0"/>
                  <wp:positionH relativeFrom="column">
                    <wp:posOffset>942340</wp:posOffset>
                  </wp:positionH>
                  <wp:positionV relativeFrom="paragraph">
                    <wp:posOffset>-426085</wp:posOffset>
                  </wp:positionV>
                  <wp:extent cx="466090" cy="427990"/>
                  <wp:effectExtent l="0" t="0" r="0" b="0"/>
                  <wp:wrapTopAndBottom/>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25">
                            <a:extLst>
                              <a:ext uri="{28A0092B-C50C-407E-A947-70E740481C1C}">
                                <a14:useLocalDpi xmlns:a14="http://schemas.microsoft.com/office/drawing/2010/main" val="0"/>
                              </a:ext>
                            </a:extLst>
                          </a:blip>
                          <a:stretch>
                            <a:fillRect/>
                          </a:stretch>
                        </pic:blipFill>
                        <pic:spPr>
                          <a:xfrm>
                            <a:off x="0" y="0"/>
                            <a:ext cx="466090" cy="427990"/>
                          </a:xfrm>
                          <a:prstGeom prst="rect">
                            <a:avLst/>
                          </a:prstGeom>
                        </pic:spPr>
                      </pic:pic>
                    </a:graphicData>
                  </a:graphic>
                </wp:anchor>
              </w:drawing>
            </w:r>
          </w:p>
        </w:tc>
        <w:tc>
          <w:tcPr>
            <w:tcW w:w="3418" w:type="dxa"/>
            <w:vAlign w:val="center"/>
          </w:tcPr>
          <w:p>
            <w:pPr>
              <w:spacing w:line="400" w:lineRule="exact"/>
              <w:jc w:val="center"/>
              <w:rPr>
                <w:rFonts w:ascii="宋体" w:hAnsi="宋体"/>
                <w:color w:val="auto"/>
                <w:sz w:val="22"/>
                <w:highlight w:val="none"/>
              </w:rPr>
            </w:pPr>
            <w:r>
              <w:rPr>
                <w:rFonts w:hint="eastAsia" w:ascii="宋体" w:hAnsi="宋体"/>
                <w:color w:val="auto"/>
                <w:sz w:val="22"/>
                <w:highlight w:val="none"/>
              </w:rPr>
              <w:t xml:space="preserve">（   </w:t>
            </w:r>
            <w:r>
              <w:rPr>
                <w:rFonts w:ascii="宋体" w:hAnsi="宋体"/>
                <w:color w:val="auto"/>
                <w:sz w:val="22"/>
                <w:highlight w:val="none"/>
              </w:rPr>
              <w:t>H</w:t>
            </w:r>
            <w:r>
              <w:rPr>
                <w:rFonts w:hint="eastAsia" w:ascii="宋体" w:hAnsi="宋体"/>
                <w:color w:val="auto"/>
                <w:sz w:val="22"/>
                <w:highlight w:val="none"/>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9" w:hRule="atLeast"/>
          <w:jc w:val="center"/>
        </w:trPr>
        <w:tc>
          <w:tcPr>
            <w:tcW w:w="3418" w:type="dxa"/>
            <w:vAlign w:val="center"/>
          </w:tcPr>
          <w:p>
            <w:pPr>
              <w:pStyle w:val="13"/>
              <w:spacing w:line="400" w:lineRule="exact"/>
              <w:jc w:val="center"/>
              <w:rPr>
                <w:color w:val="auto"/>
                <w:highlight w:val="none"/>
              </w:rPr>
            </w:pPr>
            <w:r>
              <w:rPr>
                <w:color w:val="auto"/>
                <w:highlight w:val="none"/>
              </w:rPr>
              <w:drawing>
                <wp:anchor distT="0" distB="0" distL="114300" distR="114300" simplePos="0" relativeHeight="251664384" behindDoc="0" locked="0" layoutInCell="1" allowOverlap="1">
                  <wp:simplePos x="0" y="0"/>
                  <wp:positionH relativeFrom="column">
                    <wp:posOffset>954405</wp:posOffset>
                  </wp:positionH>
                  <wp:positionV relativeFrom="paragraph">
                    <wp:posOffset>-427990</wp:posOffset>
                  </wp:positionV>
                  <wp:extent cx="456565" cy="427990"/>
                  <wp:effectExtent l="0" t="0" r="635" b="0"/>
                  <wp:wrapTopAndBottom/>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0"/>
                            <a:ext cx="456565" cy="427990"/>
                          </a:xfrm>
                          <a:prstGeom prst="rect">
                            <a:avLst/>
                          </a:prstGeom>
                        </pic:spPr>
                      </pic:pic>
                    </a:graphicData>
                  </a:graphic>
                </wp:anchor>
              </w:drawing>
            </w:r>
          </w:p>
        </w:tc>
        <w:tc>
          <w:tcPr>
            <w:tcW w:w="3418" w:type="dxa"/>
            <w:vAlign w:val="center"/>
          </w:tcPr>
          <w:p>
            <w:pPr>
              <w:spacing w:line="400" w:lineRule="exact"/>
              <w:jc w:val="center"/>
              <w:rPr>
                <w:rFonts w:ascii="宋体" w:hAnsi="宋体"/>
                <w:color w:val="auto"/>
                <w:sz w:val="22"/>
                <w:highlight w:val="none"/>
              </w:rPr>
            </w:pPr>
            <w:r>
              <w:rPr>
                <w:rFonts w:hint="eastAsia" w:ascii="宋体" w:hAnsi="宋体"/>
                <w:color w:val="auto"/>
                <w:sz w:val="22"/>
                <w:highlight w:val="none"/>
              </w:rPr>
              <w:t xml:space="preserve">（    </w:t>
            </w:r>
            <w:r>
              <w:rPr>
                <w:rFonts w:ascii="宋体" w:hAnsi="宋体"/>
                <w:color w:val="auto"/>
                <w:sz w:val="22"/>
                <w:highlight w:val="none"/>
              </w:rPr>
              <w:t>I</w:t>
            </w:r>
            <w:r>
              <w:rPr>
                <w:rFonts w:hint="eastAsia" w:ascii="宋体" w:hAnsi="宋体"/>
                <w:color w:val="auto"/>
                <w:sz w:val="22"/>
                <w:highlight w:val="none"/>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9" w:hRule="atLeast"/>
          <w:jc w:val="center"/>
        </w:trPr>
        <w:tc>
          <w:tcPr>
            <w:tcW w:w="3418" w:type="dxa"/>
            <w:vAlign w:val="center"/>
          </w:tcPr>
          <w:p>
            <w:pPr>
              <w:pStyle w:val="13"/>
              <w:spacing w:line="400" w:lineRule="exact"/>
              <w:jc w:val="center"/>
              <w:rPr>
                <w:color w:val="auto"/>
                <w:highlight w:val="none"/>
              </w:rPr>
            </w:pPr>
            <w:r>
              <w:rPr>
                <w:color w:val="auto"/>
                <w:highlight w:val="none"/>
              </w:rPr>
              <w:drawing>
                <wp:anchor distT="0" distB="0" distL="114300" distR="114300" simplePos="0" relativeHeight="251665408" behindDoc="0" locked="0" layoutInCell="1" allowOverlap="1">
                  <wp:simplePos x="0" y="0"/>
                  <wp:positionH relativeFrom="column">
                    <wp:posOffset>943610</wp:posOffset>
                  </wp:positionH>
                  <wp:positionV relativeFrom="paragraph">
                    <wp:posOffset>-106045</wp:posOffset>
                  </wp:positionV>
                  <wp:extent cx="418465" cy="408940"/>
                  <wp:effectExtent l="0" t="0" r="635" b="0"/>
                  <wp:wrapTopAndBottom/>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27">
                            <a:extLst>
                              <a:ext uri="{28A0092B-C50C-407E-A947-70E740481C1C}">
                                <a14:useLocalDpi xmlns:a14="http://schemas.microsoft.com/office/drawing/2010/main" val="0"/>
                              </a:ext>
                            </a:extLst>
                          </a:blip>
                          <a:stretch>
                            <a:fillRect/>
                          </a:stretch>
                        </pic:blipFill>
                        <pic:spPr>
                          <a:xfrm>
                            <a:off x="0" y="0"/>
                            <a:ext cx="418465" cy="408940"/>
                          </a:xfrm>
                          <a:prstGeom prst="rect">
                            <a:avLst/>
                          </a:prstGeom>
                        </pic:spPr>
                      </pic:pic>
                    </a:graphicData>
                  </a:graphic>
                </wp:anchor>
              </w:drawing>
            </w:r>
          </w:p>
        </w:tc>
        <w:tc>
          <w:tcPr>
            <w:tcW w:w="3418" w:type="dxa"/>
            <w:vAlign w:val="center"/>
          </w:tcPr>
          <w:p>
            <w:pPr>
              <w:spacing w:line="400" w:lineRule="exact"/>
              <w:jc w:val="center"/>
              <w:rPr>
                <w:rFonts w:ascii="宋体" w:hAnsi="宋体"/>
                <w:color w:val="auto"/>
                <w:sz w:val="22"/>
                <w:highlight w:val="none"/>
              </w:rPr>
            </w:pPr>
            <w:r>
              <w:rPr>
                <w:rFonts w:hint="eastAsia" w:ascii="宋体" w:hAnsi="宋体"/>
                <w:color w:val="auto"/>
                <w:sz w:val="22"/>
                <w:highlight w:val="none"/>
              </w:rPr>
              <w:t xml:space="preserve">（    </w:t>
            </w:r>
            <w:r>
              <w:rPr>
                <w:rFonts w:ascii="宋体" w:hAnsi="宋体"/>
                <w:color w:val="auto"/>
                <w:sz w:val="22"/>
                <w:highlight w:val="none"/>
              </w:rPr>
              <w:t>K</w:t>
            </w:r>
            <w:r>
              <w:rPr>
                <w:rFonts w:hint="eastAsia" w:ascii="宋体" w:hAnsi="宋体"/>
                <w:color w:val="auto"/>
                <w:sz w:val="22"/>
                <w:highlight w:val="none"/>
              </w:rPr>
              <w:t xml:space="preserve">   ）</w:t>
            </w:r>
          </w:p>
        </w:tc>
      </w:tr>
    </w:tbl>
    <w:p>
      <w:pPr>
        <w:spacing w:line="400" w:lineRule="exact"/>
        <w:rPr>
          <w:rFonts w:ascii="宋体" w:hAnsi="宋体"/>
          <w:b/>
          <w:color w:val="auto"/>
          <w:sz w:val="22"/>
          <w:highlight w:val="none"/>
        </w:rPr>
      </w:pPr>
    </w:p>
    <w:p>
      <w:pPr>
        <w:pStyle w:val="13"/>
        <w:spacing w:line="400" w:lineRule="exact"/>
        <w:ind w:firstLine="440"/>
        <w:jc w:val="left"/>
        <w:rPr>
          <w:rFonts w:ascii="宋体" w:hAnsi="宋体"/>
          <w:color w:val="auto"/>
          <w:sz w:val="22"/>
          <w:highlight w:val="none"/>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doNotDisplayPageBoundaries w:val="1"/>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7650"/>
    <w:rsid w:val="00000A92"/>
    <w:rsid w:val="00004ACC"/>
    <w:rsid w:val="00007650"/>
    <w:rsid w:val="00010CEC"/>
    <w:rsid w:val="00017324"/>
    <w:rsid w:val="00031081"/>
    <w:rsid w:val="00043B64"/>
    <w:rsid w:val="000445EE"/>
    <w:rsid w:val="000578F6"/>
    <w:rsid w:val="00063AAE"/>
    <w:rsid w:val="0006480D"/>
    <w:rsid w:val="000758AC"/>
    <w:rsid w:val="00085A69"/>
    <w:rsid w:val="000940BD"/>
    <w:rsid w:val="00095CE6"/>
    <w:rsid w:val="00097A74"/>
    <w:rsid w:val="000A1401"/>
    <w:rsid w:val="000A2AA6"/>
    <w:rsid w:val="000B1166"/>
    <w:rsid w:val="000B31C4"/>
    <w:rsid w:val="000B6679"/>
    <w:rsid w:val="000B7664"/>
    <w:rsid w:val="000C10B4"/>
    <w:rsid w:val="000D42BC"/>
    <w:rsid w:val="000D51BB"/>
    <w:rsid w:val="000E63F2"/>
    <w:rsid w:val="000F1A34"/>
    <w:rsid w:val="000F2E6B"/>
    <w:rsid w:val="000F3582"/>
    <w:rsid w:val="000F5B9F"/>
    <w:rsid w:val="00104260"/>
    <w:rsid w:val="00115324"/>
    <w:rsid w:val="001163D5"/>
    <w:rsid w:val="001221D1"/>
    <w:rsid w:val="001269AB"/>
    <w:rsid w:val="0012719E"/>
    <w:rsid w:val="0013539A"/>
    <w:rsid w:val="00137576"/>
    <w:rsid w:val="00142133"/>
    <w:rsid w:val="00143185"/>
    <w:rsid w:val="00143AB0"/>
    <w:rsid w:val="0016123E"/>
    <w:rsid w:val="001614BD"/>
    <w:rsid w:val="0017062E"/>
    <w:rsid w:val="00175269"/>
    <w:rsid w:val="001852E9"/>
    <w:rsid w:val="0019223D"/>
    <w:rsid w:val="00194DB5"/>
    <w:rsid w:val="001A4825"/>
    <w:rsid w:val="001A5242"/>
    <w:rsid w:val="001B5038"/>
    <w:rsid w:val="001C0B75"/>
    <w:rsid w:val="001C2B58"/>
    <w:rsid w:val="001D463D"/>
    <w:rsid w:val="001E0AC3"/>
    <w:rsid w:val="001E3252"/>
    <w:rsid w:val="001E6067"/>
    <w:rsid w:val="001F74CB"/>
    <w:rsid w:val="00206BD4"/>
    <w:rsid w:val="00227A44"/>
    <w:rsid w:val="00234F8F"/>
    <w:rsid w:val="00242576"/>
    <w:rsid w:val="00256A8B"/>
    <w:rsid w:val="00260CFD"/>
    <w:rsid w:val="002778DF"/>
    <w:rsid w:val="002848C4"/>
    <w:rsid w:val="002855AA"/>
    <w:rsid w:val="002860F2"/>
    <w:rsid w:val="002B033C"/>
    <w:rsid w:val="002B222C"/>
    <w:rsid w:val="002B51D3"/>
    <w:rsid w:val="002C25DD"/>
    <w:rsid w:val="002C5DF6"/>
    <w:rsid w:val="002D2134"/>
    <w:rsid w:val="002D2EF9"/>
    <w:rsid w:val="002D64FB"/>
    <w:rsid w:val="002E438D"/>
    <w:rsid w:val="002E5332"/>
    <w:rsid w:val="002E6A9B"/>
    <w:rsid w:val="002F1A43"/>
    <w:rsid w:val="002F3869"/>
    <w:rsid w:val="002F4325"/>
    <w:rsid w:val="003024AF"/>
    <w:rsid w:val="0030763C"/>
    <w:rsid w:val="003153AF"/>
    <w:rsid w:val="00315745"/>
    <w:rsid w:val="003206DD"/>
    <w:rsid w:val="003258C8"/>
    <w:rsid w:val="00326302"/>
    <w:rsid w:val="003274CD"/>
    <w:rsid w:val="00331428"/>
    <w:rsid w:val="0033284D"/>
    <w:rsid w:val="00343543"/>
    <w:rsid w:val="00351003"/>
    <w:rsid w:val="00371657"/>
    <w:rsid w:val="003752F5"/>
    <w:rsid w:val="0037674B"/>
    <w:rsid w:val="003820AF"/>
    <w:rsid w:val="00383751"/>
    <w:rsid w:val="00387C10"/>
    <w:rsid w:val="003A40B9"/>
    <w:rsid w:val="003A603D"/>
    <w:rsid w:val="003A665C"/>
    <w:rsid w:val="003B3537"/>
    <w:rsid w:val="003B5518"/>
    <w:rsid w:val="003B706E"/>
    <w:rsid w:val="003C0AF8"/>
    <w:rsid w:val="003D300D"/>
    <w:rsid w:val="003D7FB2"/>
    <w:rsid w:val="003E349A"/>
    <w:rsid w:val="003F0A6C"/>
    <w:rsid w:val="003F31D7"/>
    <w:rsid w:val="00401A0F"/>
    <w:rsid w:val="00402A25"/>
    <w:rsid w:val="00405A6C"/>
    <w:rsid w:val="004068E7"/>
    <w:rsid w:val="004073BB"/>
    <w:rsid w:val="00423656"/>
    <w:rsid w:val="00426898"/>
    <w:rsid w:val="00436D18"/>
    <w:rsid w:val="00443C06"/>
    <w:rsid w:val="004507D0"/>
    <w:rsid w:val="0045353B"/>
    <w:rsid w:val="00455858"/>
    <w:rsid w:val="00461F43"/>
    <w:rsid w:val="00482AB8"/>
    <w:rsid w:val="00496D7A"/>
    <w:rsid w:val="004A0394"/>
    <w:rsid w:val="004C4567"/>
    <w:rsid w:val="004D3F7A"/>
    <w:rsid w:val="004F5587"/>
    <w:rsid w:val="005139F8"/>
    <w:rsid w:val="005221E3"/>
    <w:rsid w:val="00537772"/>
    <w:rsid w:val="00555057"/>
    <w:rsid w:val="00555C72"/>
    <w:rsid w:val="0056386B"/>
    <w:rsid w:val="00572830"/>
    <w:rsid w:val="00572D5C"/>
    <w:rsid w:val="00574F1B"/>
    <w:rsid w:val="00584FF0"/>
    <w:rsid w:val="00586504"/>
    <w:rsid w:val="00591EF9"/>
    <w:rsid w:val="00595702"/>
    <w:rsid w:val="00596AB5"/>
    <w:rsid w:val="005A497A"/>
    <w:rsid w:val="005D57D3"/>
    <w:rsid w:val="005E65E8"/>
    <w:rsid w:val="005F6226"/>
    <w:rsid w:val="00603CF4"/>
    <w:rsid w:val="00612ABA"/>
    <w:rsid w:val="006220CC"/>
    <w:rsid w:val="00651132"/>
    <w:rsid w:val="00663C49"/>
    <w:rsid w:val="00673FFA"/>
    <w:rsid w:val="00683DDB"/>
    <w:rsid w:val="00692DEF"/>
    <w:rsid w:val="006A61E0"/>
    <w:rsid w:val="006B348C"/>
    <w:rsid w:val="006B42F3"/>
    <w:rsid w:val="006C578A"/>
    <w:rsid w:val="006C7AFA"/>
    <w:rsid w:val="006E3B95"/>
    <w:rsid w:val="006E6150"/>
    <w:rsid w:val="006E6C77"/>
    <w:rsid w:val="006E730E"/>
    <w:rsid w:val="006F7DC5"/>
    <w:rsid w:val="0070239A"/>
    <w:rsid w:val="00705A01"/>
    <w:rsid w:val="00711452"/>
    <w:rsid w:val="00723C17"/>
    <w:rsid w:val="007269E8"/>
    <w:rsid w:val="00735A0B"/>
    <w:rsid w:val="007469EB"/>
    <w:rsid w:val="00747360"/>
    <w:rsid w:val="007557EA"/>
    <w:rsid w:val="0075646A"/>
    <w:rsid w:val="00760BB3"/>
    <w:rsid w:val="007610AA"/>
    <w:rsid w:val="0076421C"/>
    <w:rsid w:val="00764FA9"/>
    <w:rsid w:val="00774B90"/>
    <w:rsid w:val="0078223F"/>
    <w:rsid w:val="00782C06"/>
    <w:rsid w:val="00787371"/>
    <w:rsid w:val="007876E9"/>
    <w:rsid w:val="00790F4B"/>
    <w:rsid w:val="007912D6"/>
    <w:rsid w:val="0079553C"/>
    <w:rsid w:val="007977C4"/>
    <w:rsid w:val="00797F39"/>
    <w:rsid w:val="007A0BB0"/>
    <w:rsid w:val="007A2366"/>
    <w:rsid w:val="007A26D1"/>
    <w:rsid w:val="007A6A12"/>
    <w:rsid w:val="007B16B8"/>
    <w:rsid w:val="007B7765"/>
    <w:rsid w:val="007C568F"/>
    <w:rsid w:val="007D381C"/>
    <w:rsid w:val="007D63B8"/>
    <w:rsid w:val="007D6DA6"/>
    <w:rsid w:val="007D7E6E"/>
    <w:rsid w:val="007F18D6"/>
    <w:rsid w:val="007F4E63"/>
    <w:rsid w:val="00800D03"/>
    <w:rsid w:val="00805E9D"/>
    <w:rsid w:val="00814668"/>
    <w:rsid w:val="0081496E"/>
    <w:rsid w:val="00815DCE"/>
    <w:rsid w:val="008212D6"/>
    <w:rsid w:val="0082755F"/>
    <w:rsid w:val="008300AC"/>
    <w:rsid w:val="008455BF"/>
    <w:rsid w:val="00852CC6"/>
    <w:rsid w:val="0086466D"/>
    <w:rsid w:val="00870C1D"/>
    <w:rsid w:val="008A16DA"/>
    <w:rsid w:val="008A67AA"/>
    <w:rsid w:val="008A76BC"/>
    <w:rsid w:val="008B58CE"/>
    <w:rsid w:val="008B5BAB"/>
    <w:rsid w:val="008B5F1D"/>
    <w:rsid w:val="008D5745"/>
    <w:rsid w:val="008F0843"/>
    <w:rsid w:val="00916F46"/>
    <w:rsid w:val="0092314D"/>
    <w:rsid w:val="00924FEA"/>
    <w:rsid w:val="00925F54"/>
    <w:rsid w:val="00927D08"/>
    <w:rsid w:val="00935338"/>
    <w:rsid w:val="00944946"/>
    <w:rsid w:val="009500A6"/>
    <w:rsid w:val="0095464B"/>
    <w:rsid w:val="00955860"/>
    <w:rsid w:val="009567DF"/>
    <w:rsid w:val="009657F6"/>
    <w:rsid w:val="00973685"/>
    <w:rsid w:val="00983999"/>
    <w:rsid w:val="00985302"/>
    <w:rsid w:val="00992A04"/>
    <w:rsid w:val="009A48AA"/>
    <w:rsid w:val="009B15C5"/>
    <w:rsid w:val="009B20A8"/>
    <w:rsid w:val="009B42C7"/>
    <w:rsid w:val="009C5A88"/>
    <w:rsid w:val="009C7C27"/>
    <w:rsid w:val="009D1088"/>
    <w:rsid w:val="009D2A33"/>
    <w:rsid w:val="009F0B6F"/>
    <w:rsid w:val="009F5FDF"/>
    <w:rsid w:val="00A15A10"/>
    <w:rsid w:val="00A2514F"/>
    <w:rsid w:val="00A26A6F"/>
    <w:rsid w:val="00A27AED"/>
    <w:rsid w:val="00A315D9"/>
    <w:rsid w:val="00A367B5"/>
    <w:rsid w:val="00A41681"/>
    <w:rsid w:val="00A4248C"/>
    <w:rsid w:val="00A46BF3"/>
    <w:rsid w:val="00A46FFA"/>
    <w:rsid w:val="00A71921"/>
    <w:rsid w:val="00A86196"/>
    <w:rsid w:val="00A92131"/>
    <w:rsid w:val="00A934BE"/>
    <w:rsid w:val="00A962C8"/>
    <w:rsid w:val="00AA067F"/>
    <w:rsid w:val="00AA1C45"/>
    <w:rsid w:val="00AA72F2"/>
    <w:rsid w:val="00AB47AB"/>
    <w:rsid w:val="00AB5C48"/>
    <w:rsid w:val="00AC4071"/>
    <w:rsid w:val="00AC4AA4"/>
    <w:rsid w:val="00AC658A"/>
    <w:rsid w:val="00AC7B00"/>
    <w:rsid w:val="00AE3077"/>
    <w:rsid w:val="00AE3A35"/>
    <w:rsid w:val="00AE4261"/>
    <w:rsid w:val="00B05706"/>
    <w:rsid w:val="00B14DB1"/>
    <w:rsid w:val="00B2546B"/>
    <w:rsid w:val="00B30B0E"/>
    <w:rsid w:val="00B30F64"/>
    <w:rsid w:val="00B509B3"/>
    <w:rsid w:val="00B5324E"/>
    <w:rsid w:val="00B600C9"/>
    <w:rsid w:val="00B82B99"/>
    <w:rsid w:val="00B90003"/>
    <w:rsid w:val="00B95CD1"/>
    <w:rsid w:val="00BA19EE"/>
    <w:rsid w:val="00BB65C9"/>
    <w:rsid w:val="00BB74B6"/>
    <w:rsid w:val="00BC08B6"/>
    <w:rsid w:val="00BC14CE"/>
    <w:rsid w:val="00BD0C30"/>
    <w:rsid w:val="00BD320C"/>
    <w:rsid w:val="00BF1A74"/>
    <w:rsid w:val="00C05D37"/>
    <w:rsid w:val="00C11294"/>
    <w:rsid w:val="00C179B6"/>
    <w:rsid w:val="00C34CF2"/>
    <w:rsid w:val="00C35FC0"/>
    <w:rsid w:val="00C46D70"/>
    <w:rsid w:val="00C4790E"/>
    <w:rsid w:val="00C5107D"/>
    <w:rsid w:val="00C531BD"/>
    <w:rsid w:val="00C541B0"/>
    <w:rsid w:val="00C565D3"/>
    <w:rsid w:val="00C617DA"/>
    <w:rsid w:val="00CA7303"/>
    <w:rsid w:val="00CB24A7"/>
    <w:rsid w:val="00CB645E"/>
    <w:rsid w:val="00CC173B"/>
    <w:rsid w:val="00CC38B6"/>
    <w:rsid w:val="00CD7454"/>
    <w:rsid w:val="00CE1FFD"/>
    <w:rsid w:val="00CE7802"/>
    <w:rsid w:val="00D13793"/>
    <w:rsid w:val="00D26BB2"/>
    <w:rsid w:val="00D34A9A"/>
    <w:rsid w:val="00D3543F"/>
    <w:rsid w:val="00D369B1"/>
    <w:rsid w:val="00D432F1"/>
    <w:rsid w:val="00D4406F"/>
    <w:rsid w:val="00D44314"/>
    <w:rsid w:val="00D4786C"/>
    <w:rsid w:val="00D533B7"/>
    <w:rsid w:val="00D564C7"/>
    <w:rsid w:val="00D57127"/>
    <w:rsid w:val="00D57B29"/>
    <w:rsid w:val="00D86FC5"/>
    <w:rsid w:val="00D9569A"/>
    <w:rsid w:val="00D97B82"/>
    <w:rsid w:val="00DB1F9C"/>
    <w:rsid w:val="00DB7F95"/>
    <w:rsid w:val="00DC6073"/>
    <w:rsid w:val="00DC7B8B"/>
    <w:rsid w:val="00DD7F87"/>
    <w:rsid w:val="00DE7A60"/>
    <w:rsid w:val="00DF315F"/>
    <w:rsid w:val="00DF4F91"/>
    <w:rsid w:val="00E14A0C"/>
    <w:rsid w:val="00E32CEC"/>
    <w:rsid w:val="00E3304E"/>
    <w:rsid w:val="00E35BBB"/>
    <w:rsid w:val="00E4349B"/>
    <w:rsid w:val="00E46A0C"/>
    <w:rsid w:val="00E57586"/>
    <w:rsid w:val="00E610E1"/>
    <w:rsid w:val="00E77E86"/>
    <w:rsid w:val="00E852A1"/>
    <w:rsid w:val="00E86F72"/>
    <w:rsid w:val="00E9173B"/>
    <w:rsid w:val="00EA0180"/>
    <w:rsid w:val="00EA2D99"/>
    <w:rsid w:val="00EA4FCA"/>
    <w:rsid w:val="00EC02ED"/>
    <w:rsid w:val="00EC0695"/>
    <w:rsid w:val="00EC25CA"/>
    <w:rsid w:val="00ED0B15"/>
    <w:rsid w:val="00ED6BB1"/>
    <w:rsid w:val="00ED722C"/>
    <w:rsid w:val="00ED72C9"/>
    <w:rsid w:val="00EE060F"/>
    <w:rsid w:val="00EE3ED8"/>
    <w:rsid w:val="00EF7D0E"/>
    <w:rsid w:val="00F00C8B"/>
    <w:rsid w:val="00F03CC1"/>
    <w:rsid w:val="00F21F7B"/>
    <w:rsid w:val="00F267CE"/>
    <w:rsid w:val="00F3790F"/>
    <w:rsid w:val="00F400E9"/>
    <w:rsid w:val="00F54368"/>
    <w:rsid w:val="00F6716B"/>
    <w:rsid w:val="00F70901"/>
    <w:rsid w:val="00F71AF9"/>
    <w:rsid w:val="00F91AB9"/>
    <w:rsid w:val="00F92378"/>
    <w:rsid w:val="00FA0BC0"/>
    <w:rsid w:val="00FB19C2"/>
    <w:rsid w:val="00FB2281"/>
    <w:rsid w:val="00FB590C"/>
    <w:rsid w:val="00FC3AC5"/>
    <w:rsid w:val="00FC5EEE"/>
    <w:rsid w:val="00FD27C5"/>
    <w:rsid w:val="00FD4D16"/>
    <w:rsid w:val="00FE5EE7"/>
    <w:rsid w:val="00FF25CF"/>
    <w:rsid w:val="014F7CD1"/>
    <w:rsid w:val="036A695E"/>
    <w:rsid w:val="06397361"/>
    <w:rsid w:val="09DF42DA"/>
    <w:rsid w:val="0ECC29EB"/>
    <w:rsid w:val="0FFF02FA"/>
    <w:rsid w:val="107D4A05"/>
    <w:rsid w:val="110520B8"/>
    <w:rsid w:val="1583091B"/>
    <w:rsid w:val="1B7C0CCC"/>
    <w:rsid w:val="1BBB0703"/>
    <w:rsid w:val="23AC744E"/>
    <w:rsid w:val="2E5B4BE4"/>
    <w:rsid w:val="33674449"/>
    <w:rsid w:val="38DA6B39"/>
    <w:rsid w:val="39AB34DF"/>
    <w:rsid w:val="4395579E"/>
    <w:rsid w:val="458B7B27"/>
    <w:rsid w:val="45C53DA9"/>
    <w:rsid w:val="4A1E2772"/>
    <w:rsid w:val="4D812783"/>
    <w:rsid w:val="560B3292"/>
    <w:rsid w:val="5A7B6CD4"/>
    <w:rsid w:val="61485FA9"/>
    <w:rsid w:val="67BD74DA"/>
    <w:rsid w:val="67D019BD"/>
    <w:rsid w:val="690031AD"/>
    <w:rsid w:val="6EC50252"/>
    <w:rsid w:val="76AE0E7C"/>
    <w:rsid w:val="77B44847"/>
    <w:rsid w:val="77B525B8"/>
    <w:rsid w:val="78D21D5D"/>
    <w:rsid w:val="7C3A20F4"/>
    <w:rsid w:val="7DAF6705"/>
    <w:rsid w:val="7F632E12"/>
    <w:rsid w:val="7F6F030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9">
    <w:name w:val="Default Paragraph Font"/>
    <w:semiHidden/>
    <w:unhideWhenUsed/>
    <w:uiPriority w:val="1"/>
  </w:style>
  <w:style w:type="table" w:default="1" w:styleId="7">
    <w:name w:val="Normal Table"/>
    <w:semiHidden/>
    <w:unhideWhenUsed/>
    <w:uiPriority w:val="99"/>
    <w:tblPr>
      <w:tblCellMar>
        <w:top w:w="0" w:type="dxa"/>
        <w:left w:w="108" w:type="dxa"/>
        <w:bottom w:w="0" w:type="dxa"/>
        <w:right w:w="108" w:type="dxa"/>
      </w:tblCellMar>
    </w:tblPr>
  </w:style>
  <w:style w:type="paragraph" w:styleId="2">
    <w:name w:val="annotation text"/>
    <w:basedOn w:val="1"/>
    <w:link w:val="18"/>
    <w:semiHidden/>
    <w:unhideWhenUsed/>
    <w:qFormat/>
    <w:uiPriority w:val="99"/>
    <w:pPr>
      <w:jc w:val="left"/>
    </w:pPr>
  </w:style>
  <w:style w:type="paragraph" w:styleId="3">
    <w:name w:val="Balloon Text"/>
    <w:basedOn w:val="1"/>
    <w:link w:val="17"/>
    <w:semiHidden/>
    <w:unhideWhenUsed/>
    <w:qFormat/>
    <w:uiPriority w:val="99"/>
    <w:rPr>
      <w:sz w:val="18"/>
      <w:szCs w:val="18"/>
    </w:rPr>
  </w:style>
  <w:style w:type="paragraph" w:styleId="4">
    <w:name w:val="footer"/>
    <w:basedOn w:val="1"/>
    <w:link w:val="12"/>
    <w:unhideWhenUsed/>
    <w:qFormat/>
    <w:uiPriority w:val="99"/>
    <w:pPr>
      <w:tabs>
        <w:tab w:val="center" w:pos="4153"/>
        <w:tab w:val="right" w:pos="8306"/>
      </w:tabs>
      <w:snapToGrid w:val="0"/>
      <w:jc w:val="left"/>
    </w:pPr>
    <w:rPr>
      <w:sz w:val="18"/>
      <w:szCs w:val="18"/>
    </w:rPr>
  </w:style>
  <w:style w:type="paragraph" w:styleId="5">
    <w:name w:val="header"/>
    <w:basedOn w:val="1"/>
    <w:link w:val="11"/>
    <w:unhideWhenUsed/>
    <w:qFormat/>
    <w:uiPriority w:val="99"/>
    <w:pPr>
      <w:pBdr>
        <w:bottom w:val="single" w:color="auto" w:sz="6" w:space="1"/>
      </w:pBdr>
      <w:tabs>
        <w:tab w:val="center" w:pos="4153"/>
        <w:tab w:val="right" w:pos="8306"/>
      </w:tabs>
      <w:snapToGrid w:val="0"/>
      <w:jc w:val="center"/>
    </w:pPr>
    <w:rPr>
      <w:sz w:val="18"/>
      <w:szCs w:val="18"/>
    </w:rPr>
  </w:style>
  <w:style w:type="paragraph" w:styleId="6">
    <w:name w:val="annotation subject"/>
    <w:basedOn w:val="2"/>
    <w:next w:val="2"/>
    <w:link w:val="19"/>
    <w:semiHidden/>
    <w:unhideWhenUsed/>
    <w:qFormat/>
    <w:uiPriority w:val="99"/>
    <w:rPr>
      <w:b/>
      <w:bCs/>
    </w:rPr>
  </w:style>
  <w:style w:type="table" w:styleId="8">
    <w:name w:val="Table Grid"/>
    <w:basedOn w:val="7"/>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0">
    <w:name w:val="annotation reference"/>
    <w:qFormat/>
    <w:uiPriority w:val="0"/>
    <w:rPr>
      <w:sz w:val="21"/>
      <w:szCs w:val="21"/>
    </w:rPr>
  </w:style>
  <w:style w:type="character" w:customStyle="1" w:styleId="11">
    <w:name w:val="页眉 字符"/>
    <w:basedOn w:val="9"/>
    <w:link w:val="5"/>
    <w:qFormat/>
    <w:uiPriority w:val="99"/>
    <w:rPr>
      <w:sz w:val="18"/>
      <w:szCs w:val="18"/>
    </w:rPr>
  </w:style>
  <w:style w:type="character" w:customStyle="1" w:styleId="12">
    <w:name w:val="页脚 字符"/>
    <w:basedOn w:val="9"/>
    <w:link w:val="4"/>
    <w:qFormat/>
    <w:uiPriority w:val="99"/>
    <w:rPr>
      <w:sz w:val="18"/>
      <w:szCs w:val="18"/>
    </w:rPr>
  </w:style>
  <w:style w:type="paragraph" w:styleId="13">
    <w:name w:val="List Paragraph"/>
    <w:basedOn w:val="1"/>
    <w:qFormat/>
    <w:uiPriority w:val="34"/>
    <w:pPr>
      <w:ind w:firstLine="420" w:firstLineChars="200"/>
    </w:pPr>
    <w:rPr>
      <w:rFonts w:ascii="Calibri" w:hAnsi="Calibri" w:eastAsia="宋体" w:cs="Times New Roman"/>
      <w:szCs w:val="24"/>
    </w:rPr>
  </w:style>
  <w:style w:type="paragraph" w:customStyle="1" w:styleId="14">
    <w:name w:val="_Style 8"/>
    <w:basedOn w:val="1"/>
    <w:next w:val="13"/>
    <w:qFormat/>
    <w:uiPriority w:val="34"/>
    <w:pPr>
      <w:ind w:firstLine="420" w:firstLineChars="200"/>
    </w:pPr>
    <w:rPr>
      <w:rFonts w:ascii="Calibri" w:hAnsi="Calibri" w:eastAsia="宋体" w:cs="Times New Roman"/>
      <w:szCs w:val="24"/>
    </w:rPr>
  </w:style>
  <w:style w:type="paragraph" w:customStyle="1" w:styleId="15">
    <w:name w:val="_Style 10"/>
    <w:basedOn w:val="1"/>
    <w:next w:val="13"/>
    <w:qFormat/>
    <w:uiPriority w:val="34"/>
    <w:pPr>
      <w:ind w:firstLine="420" w:firstLineChars="200"/>
    </w:pPr>
    <w:rPr>
      <w:rFonts w:ascii="Calibri" w:hAnsi="Calibri" w:eastAsia="宋体" w:cs="Times New Roman"/>
      <w:szCs w:val="24"/>
    </w:rPr>
  </w:style>
  <w:style w:type="paragraph" w:customStyle="1" w:styleId="16">
    <w:name w:val="_Style 11"/>
    <w:basedOn w:val="1"/>
    <w:next w:val="13"/>
    <w:qFormat/>
    <w:uiPriority w:val="34"/>
    <w:pPr>
      <w:ind w:firstLine="420" w:firstLineChars="200"/>
    </w:pPr>
    <w:rPr>
      <w:rFonts w:ascii="Calibri" w:hAnsi="Calibri" w:eastAsia="宋体" w:cs="Times New Roman"/>
      <w:szCs w:val="24"/>
    </w:rPr>
  </w:style>
  <w:style w:type="character" w:customStyle="1" w:styleId="17">
    <w:name w:val="批注框文本 字符"/>
    <w:basedOn w:val="9"/>
    <w:link w:val="3"/>
    <w:semiHidden/>
    <w:qFormat/>
    <w:uiPriority w:val="99"/>
    <w:rPr>
      <w:sz w:val="18"/>
      <w:szCs w:val="18"/>
    </w:rPr>
  </w:style>
  <w:style w:type="character" w:customStyle="1" w:styleId="18">
    <w:name w:val="批注文字 字符"/>
    <w:basedOn w:val="9"/>
    <w:link w:val="2"/>
    <w:semiHidden/>
    <w:qFormat/>
    <w:uiPriority w:val="99"/>
  </w:style>
  <w:style w:type="character" w:customStyle="1" w:styleId="19">
    <w:name w:val="批注主题 字符"/>
    <w:basedOn w:val="18"/>
    <w:link w:val="6"/>
    <w:semiHidden/>
    <w:qFormat/>
    <w:uiPriority w:val="99"/>
    <w:rPr>
      <w:b/>
      <w:bCs/>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9" Type="http://schemas.openxmlformats.org/officeDocument/2006/relationships/fontTable" Target="fontTable.xml"/><Relationship Id="rId28" Type="http://schemas.openxmlformats.org/officeDocument/2006/relationships/customXml" Target="../customXml/item1.xml"/><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40</TotalTime>
  <Pages>19</Pages>
  <Words>1852</Words>
  <Characters>10558</Characters>
  <DocSecurity>0</DocSecurity>
  <Lines>87</Lines>
  <Paragraphs>24</Paragraphs>
  <ScaleCrop>false</ScaleCrop>
  <LinksUpToDate>false</LinksUpToDate>
  <CharactersWithSpaces>12386</CharactersWithSpace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2021-12-02T12:00:00Z</dcterms:created>
  <dcterms:modified xsi:type="dcterms:W3CDTF">2021-12-05T04:13:51Z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2052-11.1.0.11115</vt:lpwstr>
  </property>
  <property fmtid="{D5CDD505-2E9C-101B-9397-08002B2CF9AE}" pid="3" name="ICV">
    <vt:lpwstr>2A96C263CBFD48A08C56014D9DB473F5</vt:lpwstr>
  </property>
</Properties>
</file>